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0B0FE" w14:textId="77777777" w:rsidR="00505A4D" w:rsidRPr="005B5A0D" w:rsidRDefault="007F768B">
      <w:pPr>
        <w:pStyle w:val="Sidfot"/>
        <w:tabs>
          <w:tab w:val="clear" w:pos="4536"/>
          <w:tab w:val="clear" w:pos="9072"/>
        </w:tabs>
        <w:spacing w:line="260" w:lineRule="atLeast"/>
        <w:rPr>
          <w:rFonts w:ascii="Georgia" w:hAnsi="Georgia"/>
          <w:sz w:val="20"/>
          <w:lang w:val="en-US"/>
        </w:rPr>
      </w:pPr>
      <w:r>
        <w:rPr>
          <w:rFonts w:ascii="Georgia" w:hAnsi="Georgia"/>
          <w:noProof/>
        </w:rPr>
        <w:drawing>
          <wp:anchor distT="540385" distB="0" distL="540385" distR="114300" simplePos="0" relativeHeight="251657728" behindDoc="1" locked="0" layoutInCell="1" allowOverlap="1" wp14:anchorId="760192AE" wp14:editId="35651E03">
            <wp:simplePos x="0" y="0"/>
            <wp:positionH relativeFrom="column">
              <wp:posOffset>-107315</wp:posOffset>
            </wp:positionH>
            <wp:positionV relativeFrom="paragraph">
              <wp:posOffset>-473710</wp:posOffset>
            </wp:positionV>
            <wp:extent cx="1133475" cy="1133475"/>
            <wp:effectExtent l="0" t="0" r="9525" b="9525"/>
            <wp:wrapTight wrapText="bothSides">
              <wp:wrapPolygon edited="0">
                <wp:start x="0" y="0"/>
                <wp:lineTo x="0" y="21297"/>
                <wp:lineTo x="21297" y="21297"/>
                <wp:lineTo x="21297" y="0"/>
                <wp:lineTo x="0" y="0"/>
              </wp:wrapPolygon>
            </wp:wrapTight>
            <wp:docPr id="2" name="Bild 2" descr="kau_2011_rgb_jpg_16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u_2011_rgb_jpg_160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52C43B" w14:textId="77777777" w:rsidR="00505A4D" w:rsidRPr="005B5A0D" w:rsidRDefault="00505A4D">
      <w:pPr>
        <w:pStyle w:val="Sidhuvud"/>
        <w:jc w:val="center"/>
        <w:rPr>
          <w:rFonts w:ascii="Georgia" w:hAnsi="Georgia"/>
          <w:sz w:val="20"/>
          <w:lang w:val="en-US"/>
        </w:rPr>
      </w:pPr>
    </w:p>
    <w:p w14:paraId="603F01F8" w14:textId="77777777" w:rsidR="00505A4D" w:rsidRPr="005B5A0D" w:rsidRDefault="00505A4D">
      <w:pPr>
        <w:pStyle w:val="Sidhuvud"/>
        <w:jc w:val="center"/>
        <w:rPr>
          <w:rFonts w:ascii="Georgia" w:hAnsi="Georgia"/>
          <w:lang w:val="en-US"/>
        </w:rPr>
      </w:pPr>
    </w:p>
    <w:p w14:paraId="6C3B6EB8" w14:textId="77777777" w:rsidR="00505A4D" w:rsidRPr="005B5A0D" w:rsidRDefault="00505A4D">
      <w:pPr>
        <w:pStyle w:val="Sidhuvud"/>
        <w:jc w:val="center"/>
        <w:rPr>
          <w:rFonts w:ascii="Georgia" w:hAnsi="Georgia"/>
          <w:lang w:val="en-US"/>
        </w:rPr>
      </w:pPr>
    </w:p>
    <w:p w14:paraId="3F136AB3" w14:textId="77777777" w:rsidR="00505A4D" w:rsidRPr="005B5A0D" w:rsidRDefault="00505A4D">
      <w:pPr>
        <w:pStyle w:val="Sidhuvud"/>
        <w:jc w:val="center"/>
        <w:rPr>
          <w:rFonts w:ascii="Georgia" w:hAnsi="Georgia"/>
          <w:lang w:val="en-US"/>
        </w:rPr>
      </w:pPr>
    </w:p>
    <w:p w14:paraId="66F1378E" w14:textId="77777777" w:rsidR="00F128A8" w:rsidRDefault="00F128A8">
      <w:pPr>
        <w:pStyle w:val="Sidhuvud"/>
        <w:jc w:val="center"/>
        <w:rPr>
          <w:rFonts w:ascii="Georgia" w:hAnsi="Georgia"/>
          <w:lang w:val="en-US"/>
        </w:rPr>
      </w:pPr>
    </w:p>
    <w:tbl>
      <w:tblPr>
        <w:tblW w:w="0" w:type="auto"/>
        <w:tblInd w:w="108" w:type="dxa"/>
        <w:tblBorders>
          <w:bottom w:val="single" w:sz="2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F128A8" w:rsidRPr="003B1DD5" w14:paraId="7E563A7E" w14:textId="77777777" w:rsidTr="00921372">
        <w:tc>
          <w:tcPr>
            <w:tcW w:w="3544" w:type="dxa"/>
            <w:shd w:val="clear" w:color="auto" w:fill="auto"/>
          </w:tcPr>
          <w:p w14:paraId="4EED3D51" w14:textId="77777777" w:rsidR="00F128A8" w:rsidRPr="003B1DD5" w:rsidRDefault="00F128A8" w:rsidP="00921372">
            <w:pPr>
              <w:pStyle w:val="Sidhuvud"/>
              <w:jc w:val="left"/>
              <w:rPr>
                <w:rFonts w:ascii="Georgia" w:hAnsi="Georgia"/>
              </w:rPr>
            </w:pPr>
          </w:p>
        </w:tc>
      </w:tr>
    </w:tbl>
    <w:p w14:paraId="4D0EED75" w14:textId="77777777" w:rsidR="00F128A8" w:rsidRDefault="00F128A8" w:rsidP="00F128A8">
      <w:pPr>
        <w:pStyle w:val="Sidhuvud"/>
        <w:jc w:val="left"/>
        <w:rPr>
          <w:rFonts w:ascii="Georgia" w:hAnsi="Georgia"/>
          <w:lang w:val="en-US"/>
        </w:rPr>
      </w:pPr>
    </w:p>
    <w:p w14:paraId="50B87ABE" w14:textId="77777777" w:rsidR="007F768B" w:rsidRPr="005B5A0D" w:rsidRDefault="007F768B" w:rsidP="00F128A8">
      <w:pPr>
        <w:pStyle w:val="Sidhuvud"/>
        <w:jc w:val="left"/>
        <w:rPr>
          <w:rFonts w:ascii="Georgia" w:hAnsi="Georgia"/>
          <w:lang w:val="en-US"/>
        </w:rPr>
      </w:pPr>
    </w:p>
    <w:p w14:paraId="5049B1AD" w14:textId="5275EB9C" w:rsidR="00EF2F1E" w:rsidRPr="00C6564C" w:rsidRDefault="00410342" w:rsidP="00C6564C">
      <w:pPr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  <w:bookmarkStart w:id="0" w:name="Institution"/>
      <w:bookmarkEnd w:id="0"/>
      <w:r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T</w:t>
      </w:r>
      <w:r w:rsidR="003E485B"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illgodoräknande</w:t>
      </w:r>
      <w:r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 och validering</w:t>
      </w:r>
      <w:r w:rsidR="00EF2F1E"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 i Lärarlyftet</w:t>
      </w:r>
      <w:r w:rsidR="0042048D"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 </w:t>
      </w:r>
      <w:r w:rsidR="00335424"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h</w:t>
      </w:r>
      <w:r w:rsidR="00D81B7E"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t</w:t>
      </w:r>
      <w:r w:rsidR="00DD52E7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23</w:t>
      </w:r>
    </w:p>
    <w:p w14:paraId="36320DD8" w14:textId="77777777" w:rsidR="00EF2F1E" w:rsidRPr="00C6564C" w:rsidRDefault="00EF2F1E" w:rsidP="00C6564C">
      <w:pPr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</w:p>
    <w:p w14:paraId="64B246B9" w14:textId="6A278E48" w:rsidR="00410342" w:rsidRPr="00C6564C" w:rsidRDefault="00410342" w:rsidP="00C6564C">
      <w:pPr>
        <w:rPr>
          <w:rFonts w:asciiTheme="minorHAnsi" w:hAnsiTheme="minorHAnsi" w:cstheme="minorHAnsi"/>
          <w:b/>
          <w:color w:val="244061" w:themeColor="accent1" w:themeShade="80"/>
          <w:sz w:val="22"/>
          <w:szCs w:val="22"/>
        </w:rPr>
      </w:pPr>
      <w:r w:rsidRPr="00C6564C">
        <w:rPr>
          <w:rFonts w:asciiTheme="minorHAnsi" w:hAnsiTheme="minorHAnsi" w:cstheme="minorHAnsi"/>
          <w:b/>
          <w:color w:val="244061" w:themeColor="accent1" w:themeShade="80"/>
          <w:sz w:val="22"/>
          <w:szCs w:val="22"/>
        </w:rPr>
        <w:t>Tillgodoräknande</w:t>
      </w:r>
    </w:p>
    <w:p w14:paraId="2F30A0B1" w14:textId="4F1A63FC" w:rsidR="0042048D" w:rsidRPr="00C6564C" w:rsidRDefault="00EF2F1E" w:rsidP="00C6564C">
      <w:pPr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  <w:r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Högskolor och universitet är skyldiga att pröva om en students </w:t>
      </w:r>
      <w:r w:rsidR="0042048D"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tidigare studier </w:t>
      </w:r>
      <w:r w:rsidR="0042048D" w:rsidRPr="00C6564C">
        <w:rPr>
          <w:rFonts w:asciiTheme="minorHAnsi" w:hAnsiTheme="minorHAnsi" w:cstheme="minorHAnsi"/>
          <w:i/>
          <w:color w:val="244061" w:themeColor="accent1" w:themeShade="80"/>
          <w:sz w:val="22"/>
          <w:szCs w:val="22"/>
        </w:rPr>
        <w:t>eller</w:t>
      </w:r>
      <w:r w:rsidR="0042048D"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 kunskaper </w:t>
      </w:r>
      <w:r w:rsidR="00A819A0"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som utvecklats i</w:t>
      </w:r>
      <w:r w:rsidR="0042048D"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 yrkesverksamhet </w:t>
      </w:r>
      <w:r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motsvarar lärandemål i en utbildnin</w:t>
      </w:r>
      <w:r w:rsidR="00C6564C"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g </w:t>
      </w:r>
      <w:r w:rsidR="007A44B4"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om studenten ansöker om tillgodoräknande</w:t>
      </w:r>
      <w:r w:rsidR="000135E6" w:rsidRPr="00C6564C">
        <w:rPr>
          <w:rStyle w:val="Fotnotsreferens"/>
          <w:rFonts w:asciiTheme="minorHAnsi" w:hAnsiTheme="minorHAnsi" w:cstheme="minorHAnsi"/>
          <w:color w:val="244061" w:themeColor="accent1" w:themeShade="80"/>
          <w:sz w:val="22"/>
          <w:szCs w:val="22"/>
        </w:rPr>
        <w:footnoteReference w:id="1"/>
      </w:r>
      <w:r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. </w:t>
      </w:r>
      <w:r w:rsidR="00A819A0"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Högskolan</w:t>
      </w:r>
      <w:r w:rsidR="00CA636D"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 prövar då om dessa kunskaper kan tillgodoräknas som delar av en utbildning.</w:t>
      </w:r>
    </w:p>
    <w:p w14:paraId="55B1A01D" w14:textId="77777777" w:rsidR="002D691F" w:rsidRPr="00C6564C" w:rsidRDefault="002D691F" w:rsidP="00C6564C">
      <w:pPr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  <w:r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br/>
        <w:t>Tillgodoräknandeb</w:t>
      </w:r>
      <w:r w:rsidR="001D538D"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eslut inom uppdragsutbildning kan inte överklagas. </w:t>
      </w:r>
    </w:p>
    <w:p w14:paraId="4851AA93" w14:textId="77777777" w:rsidR="002D691F" w:rsidRPr="00C6564C" w:rsidRDefault="002D691F" w:rsidP="00C6564C">
      <w:pPr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</w:p>
    <w:p w14:paraId="48791335" w14:textId="780ADF78" w:rsidR="00CA636D" w:rsidRPr="00C6564C" w:rsidRDefault="003B229C" w:rsidP="00C6564C">
      <w:pPr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  <w:r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Ansökningar om tillgodoräknande </w:t>
      </w:r>
      <w:r w:rsidR="002D691F"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för</w:t>
      </w:r>
      <w:r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 kurser som startar </w:t>
      </w:r>
      <w:r w:rsidR="00335424"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h</w:t>
      </w:r>
      <w:r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t</w:t>
      </w:r>
      <w:r w:rsidR="00DD52E7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23</w:t>
      </w:r>
      <w:r w:rsidR="001D538D"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 ska vara inkomna senast den </w:t>
      </w:r>
      <w:r w:rsidR="00335424"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15 oktober</w:t>
      </w:r>
      <w:r w:rsidR="001D538D"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. </w:t>
      </w:r>
      <w:r w:rsidR="00335424"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Om den</w:t>
      </w:r>
      <w:r w:rsidR="00C6564C"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 del som du vill tillgodoräkna </w:t>
      </w:r>
      <w:r w:rsidR="00335424"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ges </w:t>
      </w:r>
      <w:r w:rsidR="00335424" w:rsidRPr="00C6564C">
        <w:rPr>
          <w:rFonts w:asciiTheme="minorHAnsi" w:hAnsiTheme="minorHAnsi" w:cstheme="minorHAnsi"/>
          <w:i/>
          <w:color w:val="244061" w:themeColor="accent1" w:themeShade="80"/>
          <w:sz w:val="22"/>
          <w:szCs w:val="22"/>
        </w:rPr>
        <w:t>före</w:t>
      </w:r>
      <w:r w:rsidR="00335424"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 15 oktober är det </w:t>
      </w:r>
      <w:r w:rsidR="0096083D"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bra</w:t>
      </w:r>
      <w:r w:rsidR="00335424"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 att </w:t>
      </w:r>
      <w:r w:rsidR="0096083D"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ansöknings</w:t>
      </w:r>
      <w:r w:rsidR="00335424"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processen inleds s</w:t>
      </w:r>
      <w:r w:rsidR="0096083D"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å snart som möjligt.</w:t>
      </w:r>
    </w:p>
    <w:p w14:paraId="7D89A364" w14:textId="77777777" w:rsidR="00CA636D" w:rsidRPr="00C6564C" w:rsidRDefault="00CA636D" w:rsidP="00C6564C">
      <w:pPr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</w:p>
    <w:p w14:paraId="0A17D2B2" w14:textId="50CD7A32" w:rsidR="001003C6" w:rsidRPr="00C6564C" w:rsidRDefault="001003C6" w:rsidP="00C6564C">
      <w:pPr>
        <w:rPr>
          <w:rFonts w:asciiTheme="minorHAnsi" w:hAnsiTheme="minorHAnsi" w:cstheme="minorHAnsi"/>
          <w:b/>
          <w:strike/>
          <w:color w:val="244061" w:themeColor="accent1" w:themeShade="80"/>
          <w:sz w:val="22"/>
          <w:szCs w:val="22"/>
        </w:rPr>
      </w:pPr>
      <w:r w:rsidRPr="00C6564C">
        <w:rPr>
          <w:rFonts w:asciiTheme="minorHAnsi" w:hAnsiTheme="minorHAnsi" w:cstheme="minorHAnsi"/>
          <w:b/>
          <w:color w:val="244061" w:themeColor="accent1" w:themeShade="80"/>
          <w:sz w:val="22"/>
          <w:szCs w:val="22"/>
        </w:rPr>
        <w:t xml:space="preserve">Tillgodoräknande </w:t>
      </w:r>
      <w:r w:rsidR="00A24E16" w:rsidRPr="00C6564C">
        <w:rPr>
          <w:rFonts w:asciiTheme="minorHAnsi" w:hAnsiTheme="minorHAnsi" w:cstheme="minorHAnsi"/>
          <w:b/>
          <w:color w:val="244061" w:themeColor="accent1" w:themeShade="80"/>
          <w:sz w:val="22"/>
          <w:szCs w:val="22"/>
        </w:rPr>
        <w:t>enbart med</w:t>
      </w:r>
      <w:r w:rsidRPr="00C6564C">
        <w:rPr>
          <w:rFonts w:asciiTheme="minorHAnsi" w:hAnsiTheme="minorHAnsi" w:cstheme="minorHAnsi"/>
          <w:b/>
          <w:color w:val="244061" w:themeColor="accent1" w:themeShade="80"/>
          <w:sz w:val="22"/>
          <w:szCs w:val="22"/>
        </w:rPr>
        <w:t xml:space="preserve"> tidigare </w:t>
      </w:r>
      <w:r w:rsidR="007A44B4" w:rsidRPr="00C6564C">
        <w:rPr>
          <w:rFonts w:asciiTheme="minorHAnsi" w:hAnsiTheme="minorHAnsi" w:cstheme="minorHAnsi"/>
          <w:b/>
          <w:color w:val="244061" w:themeColor="accent1" w:themeShade="80"/>
          <w:sz w:val="22"/>
          <w:szCs w:val="22"/>
        </w:rPr>
        <w:t>högskole</w:t>
      </w:r>
      <w:r w:rsidRPr="00C6564C">
        <w:rPr>
          <w:rFonts w:asciiTheme="minorHAnsi" w:hAnsiTheme="minorHAnsi" w:cstheme="minorHAnsi"/>
          <w:b/>
          <w:color w:val="244061" w:themeColor="accent1" w:themeShade="80"/>
          <w:sz w:val="22"/>
          <w:szCs w:val="22"/>
        </w:rPr>
        <w:t>studier</w:t>
      </w:r>
      <w:r w:rsidR="00A24E16" w:rsidRPr="00C6564C">
        <w:rPr>
          <w:rFonts w:asciiTheme="minorHAnsi" w:hAnsiTheme="minorHAnsi" w:cstheme="minorHAnsi"/>
          <w:b/>
          <w:color w:val="244061" w:themeColor="accent1" w:themeShade="80"/>
          <w:sz w:val="22"/>
          <w:szCs w:val="22"/>
        </w:rPr>
        <w:t xml:space="preserve"> som grund</w:t>
      </w:r>
      <w:r w:rsidR="004D10C0" w:rsidRPr="00C6564C">
        <w:rPr>
          <w:rFonts w:asciiTheme="minorHAnsi" w:hAnsiTheme="minorHAnsi" w:cstheme="minorHAnsi"/>
          <w:b/>
          <w:color w:val="244061" w:themeColor="accent1" w:themeShade="80"/>
          <w:sz w:val="22"/>
          <w:szCs w:val="22"/>
        </w:rPr>
        <w:t xml:space="preserve"> </w:t>
      </w:r>
    </w:p>
    <w:p w14:paraId="4D23EC5C" w14:textId="731A8517" w:rsidR="00E634B9" w:rsidRPr="00CA71E0" w:rsidRDefault="00A24E16" w:rsidP="00C6564C">
      <w:pPr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  <w:r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Om du vill </w:t>
      </w:r>
      <w:r w:rsidR="00934BA6"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tillgodoräkna </w:t>
      </w:r>
      <w:r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tidigare högskolestudier</w:t>
      </w:r>
      <w:r w:rsidR="00934BA6"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 </w:t>
      </w:r>
      <w:r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i </w:t>
      </w:r>
      <w:r w:rsidR="00E634B9"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br/>
      </w:r>
    </w:p>
    <w:p w14:paraId="70679144" w14:textId="77777777" w:rsidR="00E84F3C" w:rsidRDefault="00DD52E7" w:rsidP="00DD52E7">
      <w:pPr>
        <w:numPr>
          <w:ilvl w:val="0"/>
          <w:numId w:val="12"/>
        </w:numPr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  <w:r w:rsidRPr="00DD52E7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Speciallärarutbildning </w:t>
      </w:r>
      <w:r w:rsidR="00E84F3C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med specialisering intellektuell funktionsnedsättning </w:t>
      </w:r>
      <w:r w:rsidRPr="00DD52E7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90 hp </w:t>
      </w:r>
    </w:p>
    <w:p w14:paraId="1DBCFCA5" w14:textId="2B40CF90" w:rsidR="00DD52E7" w:rsidRPr="00DD52E7" w:rsidRDefault="00DD52E7" w:rsidP="00E84F3C">
      <w:pPr>
        <w:ind w:left="720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  <w:r w:rsidRPr="00DD52E7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kontaktar du </w:t>
      </w:r>
      <w:hyperlink r:id="rId9" w:history="1">
        <w:r w:rsidRPr="00DD52E7">
          <w:rPr>
            <w:rStyle w:val="Hyperlnk"/>
            <w:rFonts w:asciiTheme="minorHAnsi" w:hAnsiTheme="minorHAnsi" w:cstheme="minorHAnsi"/>
            <w:color w:val="17365D" w:themeColor="text2" w:themeShade="BF"/>
            <w:sz w:val="22"/>
            <w:szCs w:val="22"/>
          </w:rPr>
          <w:t>aleksandra.jensen@kau.se</w:t>
        </w:r>
      </w:hyperlink>
    </w:p>
    <w:p w14:paraId="710A6589" w14:textId="070C155C" w:rsidR="00DD52E7" w:rsidRPr="00DD52E7" w:rsidRDefault="00DD52E7" w:rsidP="00DD52E7">
      <w:pPr>
        <w:numPr>
          <w:ilvl w:val="0"/>
          <w:numId w:val="12"/>
        </w:numPr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  <w:r w:rsidRPr="00DD52E7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Svenska som andraspråk för lärare åk 4-6, 15 hp kontaktar du </w:t>
      </w:r>
      <w:hyperlink r:id="rId10" w:history="1">
        <w:r w:rsidRPr="00DD52E7">
          <w:rPr>
            <w:rStyle w:val="Hyperlnk"/>
            <w:rFonts w:asciiTheme="minorHAnsi" w:hAnsiTheme="minorHAnsi" w:cstheme="minorHAnsi"/>
            <w:color w:val="17365D" w:themeColor="text2" w:themeShade="BF"/>
            <w:sz w:val="22"/>
            <w:szCs w:val="22"/>
          </w:rPr>
          <w:t>sofie.buskqvist@kau.se</w:t>
        </w:r>
      </w:hyperlink>
    </w:p>
    <w:p w14:paraId="36E62E1C" w14:textId="78FC0005" w:rsidR="00DD52E7" w:rsidRPr="00DD52E7" w:rsidRDefault="00DD52E7" w:rsidP="00DD52E7">
      <w:pPr>
        <w:numPr>
          <w:ilvl w:val="0"/>
          <w:numId w:val="12"/>
        </w:numPr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  <w:r w:rsidRPr="00DD52E7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Samhällskunskap för lärare åk 7-9, 90 hp kontaktar du </w:t>
      </w:r>
      <w:hyperlink r:id="rId11" w:history="1">
        <w:r w:rsidRPr="00DD52E7">
          <w:rPr>
            <w:rStyle w:val="Hyperlnk"/>
            <w:rFonts w:asciiTheme="minorHAnsi" w:hAnsiTheme="minorHAnsi" w:cstheme="minorHAnsi"/>
            <w:color w:val="17365D" w:themeColor="text2" w:themeShade="BF"/>
            <w:sz w:val="22"/>
            <w:szCs w:val="22"/>
          </w:rPr>
          <w:t>sofie.buskqvist@kau.se</w:t>
        </w:r>
      </w:hyperlink>
      <w:r w:rsidRPr="00DD52E7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 </w:t>
      </w:r>
    </w:p>
    <w:p w14:paraId="508FAB83" w14:textId="75DFBF8F" w:rsidR="00E84F3C" w:rsidRPr="00E84F3C" w:rsidRDefault="003B229C" w:rsidP="00E84F3C">
      <w:pPr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  <w:r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br/>
      </w:r>
      <w:r w:rsidR="0042048D"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Om det bedöms att </w:t>
      </w:r>
      <w:r w:rsidR="00A24E16"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den utbildning du har gått </w:t>
      </w:r>
      <w:r w:rsidR="0042048D" w:rsidRPr="00C6564C">
        <w:rPr>
          <w:rFonts w:asciiTheme="minorHAnsi" w:hAnsiTheme="minorHAnsi" w:cstheme="minorHAnsi"/>
          <w:i/>
          <w:color w:val="244061" w:themeColor="accent1" w:themeShade="80"/>
          <w:sz w:val="22"/>
          <w:szCs w:val="22"/>
        </w:rPr>
        <w:t>inte väsentligen skiljer sig</w:t>
      </w:r>
      <w:r w:rsidR="0042048D"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 från </w:t>
      </w:r>
      <w:r w:rsidR="00A24E16"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kursen</w:t>
      </w:r>
      <w:r w:rsidR="0042048D"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 i Lärarlyftet, ska högskolan tillgodoräkna de</w:t>
      </w:r>
      <w:r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n</w:t>
      </w:r>
      <w:r w:rsidR="00AB7E6D"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. </w:t>
      </w:r>
      <w:r w:rsidR="003F37AF"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Det innebär att de delar av lärarlyftskursen som du redan uppfyller kan tas bort så att </w:t>
      </w:r>
      <w:r w:rsidR="00402E27"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kursen</w:t>
      </w:r>
      <w:r w:rsidR="003F37AF"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 blir mindre omfattan</w:t>
      </w:r>
      <w:r w:rsidR="00335424"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d</w:t>
      </w:r>
      <w:r w:rsidR="003F37AF"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e</w:t>
      </w:r>
      <w:r w:rsidR="00D81B7E"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.</w:t>
      </w:r>
    </w:p>
    <w:p w14:paraId="32B39DBA" w14:textId="02DBAB57" w:rsidR="00E84F3C" w:rsidRPr="00E84F3C" w:rsidRDefault="00000000" w:rsidP="00E84F3C">
      <w:pPr>
        <w:numPr>
          <w:ilvl w:val="0"/>
          <w:numId w:val="13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="00E84F3C">
          <w:rPr>
            <w:rStyle w:val="Hyperlnk"/>
            <w:rFonts w:asciiTheme="minorHAnsi" w:hAnsiTheme="minorHAnsi" w:cstheme="minorHAnsi"/>
            <w:color w:val="auto"/>
            <w:sz w:val="22"/>
            <w:szCs w:val="22"/>
            <w:u w:val="none"/>
          </w:rPr>
          <w:t>Du</w:t>
        </w:r>
      </w:hyperlink>
      <w:r w:rsidR="00E84F3C">
        <w:rPr>
          <w:rFonts w:asciiTheme="minorHAnsi" w:hAnsiTheme="minorHAnsi" w:cstheme="minorHAnsi"/>
          <w:sz w:val="22"/>
          <w:szCs w:val="22"/>
        </w:rPr>
        <w:t xml:space="preserve"> ansöker digitalt via Ladok</w:t>
      </w:r>
    </w:p>
    <w:p w14:paraId="2FB6B9F2" w14:textId="77777777" w:rsidR="00E84F3C" w:rsidRPr="00E84F3C" w:rsidRDefault="00E84F3C" w:rsidP="00E84F3C">
      <w:pPr>
        <w:numPr>
          <w:ilvl w:val="0"/>
          <w:numId w:val="13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E84F3C">
        <w:rPr>
          <w:rFonts w:asciiTheme="minorHAnsi" w:hAnsiTheme="minorHAnsi" w:cstheme="minorHAnsi"/>
          <w:sz w:val="22"/>
          <w:szCs w:val="22"/>
        </w:rPr>
        <w:t>Du ska endast ange en kurs att tillgodoräkna per ansökan.</w:t>
      </w:r>
    </w:p>
    <w:p w14:paraId="1008366F" w14:textId="77777777" w:rsidR="00E84F3C" w:rsidRPr="00E84F3C" w:rsidRDefault="00E84F3C" w:rsidP="00E84F3C">
      <w:pPr>
        <w:numPr>
          <w:ilvl w:val="0"/>
          <w:numId w:val="13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E84F3C">
        <w:rPr>
          <w:rFonts w:asciiTheme="minorHAnsi" w:hAnsiTheme="minorHAnsi" w:cstheme="minorHAnsi"/>
          <w:sz w:val="22"/>
          <w:szCs w:val="22"/>
        </w:rPr>
        <w:t xml:space="preserve">Du måste bifoga nödvändiga dokument.  </w:t>
      </w:r>
    </w:p>
    <w:p w14:paraId="261CF8AC" w14:textId="77777777" w:rsidR="00E84F3C" w:rsidRPr="00E84F3C" w:rsidRDefault="00E84F3C" w:rsidP="00E84F3C">
      <w:pPr>
        <w:numPr>
          <w:ilvl w:val="1"/>
          <w:numId w:val="13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E84F3C">
        <w:rPr>
          <w:rFonts w:asciiTheme="minorHAnsi" w:hAnsiTheme="minorHAnsi" w:cstheme="minorHAnsi"/>
          <w:sz w:val="22"/>
          <w:szCs w:val="22"/>
        </w:rPr>
        <w:t>Resultatintyg från Ladok.</w:t>
      </w:r>
    </w:p>
    <w:p w14:paraId="407CA8BD" w14:textId="77777777" w:rsidR="00E84F3C" w:rsidRPr="00E84F3C" w:rsidRDefault="00E84F3C" w:rsidP="00E84F3C">
      <w:pPr>
        <w:numPr>
          <w:ilvl w:val="1"/>
          <w:numId w:val="13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E84F3C">
        <w:rPr>
          <w:rFonts w:asciiTheme="minorHAnsi" w:hAnsiTheme="minorHAnsi" w:cstheme="minorHAnsi"/>
          <w:sz w:val="22"/>
          <w:szCs w:val="22"/>
        </w:rPr>
        <w:t>Formell kursplan och förteckning över kurslitteratur aktuella för den termin kursen lästes.</w:t>
      </w:r>
    </w:p>
    <w:p w14:paraId="1FD0CAB9" w14:textId="20A913AD" w:rsidR="00BD4FF6" w:rsidRDefault="00BD4FF6" w:rsidP="00C6564C">
      <w:pPr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</w:p>
    <w:p w14:paraId="11648AB3" w14:textId="77777777" w:rsidR="00BD4FF6" w:rsidRPr="00C6564C" w:rsidRDefault="00BD4FF6" w:rsidP="00C6564C">
      <w:pPr>
        <w:rPr>
          <w:rFonts w:asciiTheme="minorHAnsi" w:hAnsiTheme="minorHAnsi" w:cstheme="minorHAnsi"/>
          <w:b/>
          <w:color w:val="244061" w:themeColor="accent1" w:themeShade="80"/>
          <w:sz w:val="22"/>
          <w:szCs w:val="22"/>
        </w:rPr>
      </w:pPr>
    </w:p>
    <w:p w14:paraId="31BC4204" w14:textId="4048DACF" w:rsidR="00335424" w:rsidRDefault="00335424" w:rsidP="00C6564C">
      <w:pPr>
        <w:rPr>
          <w:rFonts w:asciiTheme="minorHAnsi" w:hAnsiTheme="minorHAnsi" w:cstheme="minorHAnsi"/>
          <w:b/>
          <w:color w:val="244061" w:themeColor="accent1" w:themeShade="80"/>
          <w:sz w:val="22"/>
          <w:szCs w:val="22"/>
        </w:rPr>
      </w:pPr>
    </w:p>
    <w:p w14:paraId="45FF0580" w14:textId="6382E939" w:rsidR="00E84F3C" w:rsidRDefault="00E84F3C" w:rsidP="00C6564C">
      <w:pPr>
        <w:rPr>
          <w:rFonts w:asciiTheme="minorHAnsi" w:hAnsiTheme="minorHAnsi" w:cstheme="minorHAnsi"/>
          <w:b/>
          <w:color w:val="244061" w:themeColor="accent1" w:themeShade="80"/>
          <w:sz w:val="22"/>
          <w:szCs w:val="22"/>
        </w:rPr>
      </w:pPr>
    </w:p>
    <w:p w14:paraId="303A14DD" w14:textId="77777777" w:rsidR="00E84F3C" w:rsidRDefault="00E84F3C" w:rsidP="00C6564C">
      <w:pPr>
        <w:rPr>
          <w:rFonts w:asciiTheme="minorHAnsi" w:hAnsiTheme="minorHAnsi" w:cstheme="minorHAnsi"/>
          <w:b/>
          <w:color w:val="244061" w:themeColor="accent1" w:themeShade="80"/>
          <w:sz w:val="22"/>
          <w:szCs w:val="22"/>
        </w:rPr>
      </w:pPr>
    </w:p>
    <w:p w14:paraId="6CD8DAA5" w14:textId="77777777" w:rsidR="00CD6D0C" w:rsidRPr="00C6564C" w:rsidRDefault="00CD6D0C" w:rsidP="00C6564C">
      <w:pPr>
        <w:rPr>
          <w:rFonts w:asciiTheme="minorHAnsi" w:hAnsiTheme="minorHAnsi" w:cstheme="minorHAnsi"/>
          <w:b/>
          <w:color w:val="244061" w:themeColor="accent1" w:themeShade="80"/>
          <w:sz w:val="22"/>
          <w:szCs w:val="22"/>
        </w:rPr>
      </w:pPr>
    </w:p>
    <w:p w14:paraId="312AF75B" w14:textId="77777777" w:rsidR="000F6543" w:rsidRDefault="000F6543" w:rsidP="00C6564C">
      <w:pPr>
        <w:rPr>
          <w:rFonts w:asciiTheme="minorHAnsi" w:hAnsiTheme="minorHAnsi" w:cstheme="minorHAnsi"/>
          <w:b/>
          <w:color w:val="244061" w:themeColor="accent1" w:themeShade="80"/>
          <w:sz w:val="22"/>
          <w:szCs w:val="22"/>
        </w:rPr>
      </w:pPr>
    </w:p>
    <w:p w14:paraId="5737A88E" w14:textId="711441BE" w:rsidR="00E634B9" w:rsidRPr="00C6564C" w:rsidRDefault="009A1E33" w:rsidP="00C6564C">
      <w:pPr>
        <w:rPr>
          <w:rFonts w:asciiTheme="minorHAnsi" w:hAnsiTheme="minorHAnsi" w:cstheme="minorHAnsi"/>
          <w:b/>
          <w:color w:val="244061" w:themeColor="accent1" w:themeShade="80"/>
          <w:sz w:val="22"/>
          <w:szCs w:val="22"/>
        </w:rPr>
      </w:pPr>
      <w:r w:rsidRPr="00C6564C">
        <w:rPr>
          <w:rFonts w:asciiTheme="minorHAnsi" w:hAnsiTheme="minorHAnsi" w:cstheme="minorHAnsi"/>
          <w:b/>
          <w:color w:val="244061" w:themeColor="accent1" w:themeShade="80"/>
          <w:sz w:val="22"/>
          <w:szCs w:val="22"/>
        </w:rPr>
        <w:lastRenderedPageBreak/>
        <w:t>T</w:t>
      </w:r>
      <w:r w:rsidR="00410342" w:rsidRPr="00C6564C">
        <w:rPr>
          <w:rFonts w:asciiTheme="minorHAnsi" w:hAnsiTheme="minorHAnsi" w:cstheme="minorHAnsi"/>
          <w:b/>
          <w:color w:val="244061" w:themeColor="accent1" w:themeShade="80"/>
          <w:sz w:val="22"/>
          <w:szCs w:val="22"/>
        </w:rPr>
        <w:t xml:space="preserve">illgodoräknande </w:t>
      </w:r>
      <w:r w:rsidR="00A24E16" w:rsidRPr="00C6564C">
        <w:rPr>
          <w:rFonts w:asciiTheme="minorHAnsi" w:hAnsiTheme="minorHAnsi" w:cstheme="minorHAnsi"/>
          <w:b/>
          <w:color w:val="244061" w:themeColor="accent1" w:themeShade="80"/>
          <w:sz w:val="22"/>
          <w:szCs w:val="22"/>
        </w:rPr>
        <w:t>med annan grund</w:t>
      </w:r>
      <w:r w:rsidR="009F4CCE" w:rsidRPr="00C6564C">
        <w:rPr>
          <w:rFonts w:asciiTheme="minorHAnsi" w:hAnsiTheme="minorHAnsi" w:cstheme="minorHAnsi"/>
          <w:b/>
          <w:color w:val="244061" w:themeColor="accent1" w:themeShade="80"/>
          <w:sz w:val="22"/>
          <w:szCs w:val="22"/>
        </w:rPr>
        <w:t xml:space="preserve"> </w:t>
      </w:r>
    </w:p>
    <w:p w14:paraId="1E25C4BA" w14:textId="77777777" w:rsidR="000F6543" w:rsidRDefault="000F6543" w:rsidP="00C6564C">
      <w:pPr>
        <w:rPr>
          <w:rFonts w:asciiTheme="minorHAnsi" w:hAnsiTheme="minorHAnsi" w:cstheme="minorHAnsi"/>
          <w:b/>
          <w:color w:val="244061" w:themeColor="accent1" w:themeShade="80"/>
          <w:sz w:val="22"/>
          <w:szCs w:val="22"/>
        </w:rPr>
      </w:pPr>
    </w:p>
    <w:p w14:paraId="64022A47" w14:textId="7A5EB3D4" w:rsidR="00A24E16" w:rsidRPr="000F6543" w:rsidRDefault="00BB2010" w:rsidP="000F6543">
      <w:pPr>
        <w:pStyle w:val="Liststycke"/>
        <w:numPr>
          <w:ilvl w:val="0"/>
          <w:numId w:val="11"/>
        </w:numPr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  <w:r w:rsidRPr="000F6543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kompetens</w:t>
      </w:r>
      <w:r w:rsidR="004D10C0" w:rsidRPr="000F6543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 </w:t>
      </w:r>
      <w:r w:rsidR="00934BA6" w:rsidRPr="000F6543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som utvecklats </w:t>
      </w:r>
      <w:r w:rsidR="00A24E16" w:rsidRPr="000F6543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genom yrkeserfarenhet</w:t>
      </w:r>
    </w:p>
    <w:p w14:paraId="0074A81D" w14:textId="77777777" w:rsidR="00A24E16" w:rsidRPr="000F6543" w:rsidRDefault="00410342" w:rsidP="000F6543">
      <w:pPr>
        <w:pStyle w:val="Liststycke"/>
        <w:numPr>
          <w:ilvl w:val="0"/>
          <w:numId w:val="11"/>
        </w:numPr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  <w:r w:rsidRPr="000F6543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andra studier än högskolestudier</w:t>
      </w:r>
    </w:p>
    <w:p w14:paraId="4E20929A" w14:textId="55ADB68E" w:rsidR="00B7482B" w:rsidRPr="00CD6D0C" w:rsidRDefault="00923FE5" w:rsidP="00C6564C">
      <w:pPr>
        <w:pStyle w:val="Liststycke"/>
        <w:numPr>
          <w:ilvl w:val="0"/>
          <w:numId w:val="11"/>
        </w:numPr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  <w:r w:rsidRPr="000F6543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en kombination av yrkeserfarenhet och studier</w:t>
      </w:r>
      <w:r w:rsidRPr="000F6543">
        <w:rPr>
          <w:rFonts w:asciiTheme="minorHAnsi" w:hAnsiTheme="minorHAnsi" w:cstheme="minorHAnsi"/>
          <w:b/>
          <w:color w:val="244061" w:themeColor="accent1" w:themeShade="80"/>
          <w:sz w:val="22"/>
          <w:szCs w:val="22"/>
        </w:rPr>
        <w:br/>
      </w:r>
    </w:p>
    <w:p w14:paraId="5E08EBE2" w14:textId="5802ABF1" w:rsidR="006134B2" w:rsidRPr="00CD6D0C" w:rsidRDefault="006134B2" w:rsidP="00C6564C">
      <w:pPr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  <w:r w:rsidRPr="00CD6D0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Om du anser att du har kompetens som utvecklats genom yrkeserfarenhet eller andra studier än högskolestudier och denna kompetens motsvarar delar </w:t>
      </w:r>
      <w:r w:rsidR="00CD6D0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av </w:t>
      </w:r>
      <w:r w:rsidRPr="00CD6D0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utbildningen </w:t>
      </w:r>
      <w:r w:rsidR="00E634B9" w:rsidRPr="00CD6D0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inom Lärarlyftet </w:t>
      </w:r>
      <w:r w:rsidR="00F5284A" w:rsidRPr="00CD6D0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till innehåll, nivå och omfattning </w:t>
      </w:r>
      <w:r w:rsidRPr="00CD6D0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behöver du genomgå en särskild valideringsprocess som består av kompetenskartläggning och kompetensbedömning</w:t>
      </w:r>
      <w:r w:rsidR="00CD6D0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.</w:t>
      </w:r>
    </w:p>
    <w:p w14:paraId="142DC03D" w14:textId="3A349431" w:rsidR="006134B2" w:rsidRPr="00C6564C" w:rsidRDefault="006134B2" w:rsidP="00C6564C">
      <w:pPr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</w:p>
    <w:p w14:paraId="52A50C50" w14:textId="60CDC207" w:rsidR="00EF2F1E" w:rsidRPr="00C6564C" w:rsidRDefault="00CD6D0C" w:rsidP="00C6564C">
      <w:pPr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  <w:r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Valideringsprocessen inleds</w:t>
      </w:r>
      <w:r w:rsidR="00A24E16"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 med ett</w:t>
      </w:r>
      <w:r w:rsidR="00EF2F1E"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 </w:t>
      </w:r>
      <w:r w:rsidR="00BB2010"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kartläggnings</w:t>
      </w:r>
      <w:r w:rsidR="00EF2F1E"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samtal. </w:t>
      </w:r>
      <w:r w:rsidR="00A24E16"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Samtalet</w:t>
      </w:r>
      <w:r w:rsidR="007A44B4"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 </w:t>
      </w:r>
      <w:r w:rsidR="00BB2010"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har till syfte att</w:t>
      </w:r>
      <w:r w:rsidR="00EF2F1E"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 </w:t>
      </w:r>
      <w:r w:rsidR="007A44B4"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i</w:t>
      </w:r>
      <w:r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dentifiera vilka lärandemål </w:t>
      </w:r>
      <w:r w:rsidR="007A44B4"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du anser</w:t>
      </w:r>
      <w:r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 att du redan uppnått samt </w:t>
      </w:r>
      <w:r w:rsidR="007A44B4"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hur du kan </w:t>
      </w:r>
      <w:r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på</w:t>
      </w:r>
      <w:r w:rsidR="007A44B4"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visa och </w:t>
      </w:r>
      <w:r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styrka dessa kunskaper.</w:t>
      </w:r>
      <w:r w:rsidR="007A44B4"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 </w:t>
      </w:r>
      <w:r w:rsidR="00A819A0"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Den inledande kartläggningen</w:t>
      </w:r>
      <w:r w:rsidR="007A44B4"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 </w:t>
      </w:r>
      <w:r w:rsidR="007A44B4" w:rsidRPr="00C6564C">
        <w:rPr>
          <w:rFonts w:asciiTheme="minorHAnsi" w:hAnsiTheme="minorHAnsi" w:cstheme="minorHAnsi"/>
          <w:i/>
          <w:color w:val="244061" w:themeColor="accent1" w:themeShade="80"/>
          <w:sz w:val="22"/>
          <w:szCs w:val="22"/>
        </w:rPr>
        <w:t>kan</w:t>
      </w:r>
      <w:r w:rsidR="007A44B4"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 leda till att du väljer att ansöka om tillgodoräknande. </w:t>
      </w:r>
      <w:r w:rsidR="00A24E16"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I ansökan</w:t>
      </w:r>
      <w:r w:rsidR="007A44B4"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 bifogar du det </w:t>
      </w:r>
      <w:r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underlag som du tagit fram tillsammans </w:t>
      </w:r>
      <w:r w:rsidR="007A44B4"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med kartläggaren. </w:t>
      </w:r>
      <w:r w:rsidR="00A819A0"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De kunskaper som synliggjorts och styrkts</w:t>
      </w:r>
      <w:r w:rsidR="00A24E16"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 bedöms sedan i relation till lärandemålen i kursen.</w:t>
      </w:r>
    </w:p>
    <w:p w14:paraId="3C6E497A" w14:textId="77777777" w:rsidR="00BB2010" w:rsidRPr="00C6564C" w:rsidRDefault="00BB2010" w:rsidP="00C6564C">
      <w:pPr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</w:p>
    <w:p w14:paraId="6E05939A" w14:textId="76D9AF13" w:rsidR="00BB2010" w:rsidRPr="00C6564C" w:rsidRDefault="00BB2010" w:rsidP="00C6564C">
      <w:pPr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  <w:r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Om resultatet av valideringen visar att din reella kompetens </w:t>
      </w:r>
      <w:r w:rsidRPr="00C6564C">
        <w:rPr>
          <w:rFonts w:asciiTheme="minorHAnsi" w:hAnsiTheme="minorHAnsi" w:cstheme="minorHAnsi"/>
          <w:i/>
          <w:color w:val="244061" w:themeColor="accent1" w:themeShade="80"/>
          <w:sz w:val="22"/>
          <w:szCs w:val="22"/>
        </w:rPr>
        <w:t>inte väsentligen skiljer sig</w:t>
      </w:r>
      <w:r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 från de kunskaper och förmågor som kursen ska leda till, ska högskolan tillgodoräkna de</w:t>
      </w:r>
      <w:r w:rsidR="003B229C"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n</w:t>
      </w:r>
      <w:r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. </w:t>
      </w:r>
      <w:r w:rsidR="003F37AF"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Det innebär att </w:t>
      </w:r>
      <w:r w:rsidR="006134B2"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den del </w:t>
      </w:r>
      <w:r w:rsidR="003F37AF"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av lärarlyftskursen som du redan uppfyller kan tas bort så att </w:t>
      </w:r>
      <w:r w:rsidR="00402E27"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kursen</w:t>
      </w:r>
      <w:r w:rsidR="003F37AF"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 blir mindre omfattande.</w:t>
      </w:r>
    </w:p>
    <w:p w14:paraId="19E3426F" w14:textId="77777777" w:rsidR="007A44B4" w:rsidRPr="00C6564C" w:rsidRDefault="007A44B4" w:rsidP="00C6564C">
      <w:pPr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</w:p>
    <w:p w14:paraId="77C6EA80" w14:textId="7AFA8042" w:rsidR="00F5284A" w:rsidRPr="00C6564C" w:rsidRDefault="00A24E16" w:rsidP="00C6564C">
      <w:pPr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  <w:r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Kontakta</w:t>
      </w:r>
      <w:r w:rsidR="00F5284A"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 </w:t>
      </w:r>
      <w:r w:rsidR="00CD6D0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aktuell studievägledare för mer information </w:t>
      </w:r>
      <w:r w:rsidR="00F5284A"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om du är intresserad av att v</w:t>
      </w:r>
      <w:r w:rsidR="00CD6D0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alidera din reella kompetens</w:t>
      </w:r>
      <w:r w:rsidR="00F5284A" w:rsidRPr="00C6564C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.</w:t>
      </w:r>
    </w:p>
    <w:p w14:paraId="3E786920" w14:textId="6C5AF070" w:rsidR="007A44B4" w:rsidRPr="00C6564C" w:rsidRDefault="007A44B4" w:rsidP="00C6564C">
      <w:pPr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</w:p>
    <w:p w14:paraId="6B82660F" w14:textId="406A2FE5" w:rsidR="00505A4D" w:rsidRPr="003B229C" w:rsidRDefault="00505A4D" w:rsidP="003B229C"/>
    <w:sectPr w:rsidR="00505A4D" w:rsidRPr="003B229C" w:rsidSect="0045265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839" w:h="16778"/>
      <w:pgMar w:top="1418" w:right="1701" w:bottom="1418" w:left="1134" w:header="567" w:footer="55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B1DC9" w14:textId="77777777" w:rsidR="00327781" w:rsidRDefault="00327781">
      <w:r>
        <w:separator/>
      </w:r>
    </w:p>
  </w:endnote>
  <w:endnote w:type="continuationSeparator" w:id="0">
    <w:p w14:paraId="7838E4AB" w14:textId="77777777" w:rsidR="00327781" w:rsidRDefault="00327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549DC" w14:textId="77777777" w:rsidR="00C3491B" w:rsidRDefault="00C3491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B7D47" w14:textId="77777777" w:rsidR="00C3491B" w:rsidRDefault="00C3491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Ind w:w="-176" w:type="dxa"/>
      <w:tblLook w:val="04A0" w:firstRow="1" w:lastRow="0" w:firstColumn="1" w:lastColumn="0" w:noHBand="0" w:noVBand="1"/>
    </w:tblPr>
    <w:tblGrid>
      <w:gridCol w:w="4572"/>
      <w:gridCol w:w="5635"/>
    </w:tblGrid>
    <w:tr w:rsidR="00B7482B" w:rsidRPr="00CB043A" w14:paraId="624D32B5" w14:textId="77777777" w:rsidTr="00921372">
      <w:tc>
        <w:tcPr>
          <w:tcW w:w="4572" w:type="dxa"/>
          <w:shd w:val="clear" w:color="auto" w:fill="auto"/>
        </w:tcPr>
        <w:p w14:paraId="49676592" w14:textId="77777777" w:rsidR="00B7482B" w:rsidRPr="00CB043A" w:rsidRDefault="00B7482B" w:rsidP="00921372">
          <w:pPr>
            <w:pStyle w:val="Sidfot"/>
            <w:spacing w:line="200" w:lineRule="exact"/>
            <w:jc w:val="left"/>
            <w:rPr>
              <w:rFonts w:ascii="Arial" w:hAnsi="Arial" w:cs="Arial"/>
              <w:sz w:val="16"/>
            </w:rPr>
          </w:pPr>
          <w:r w:rsidRPr="00CB043A">
            <w:rPr>
              <w:rFonts w:ascii="Arial" w:hAnsi="Arial" w:cs="Arial"/>
              <w:sz w:val="16"/>
            </w:rPr>
            <w:t>Karlstad</w:t>
          </w:r>
          <w:r>
            <w:rPr>
              <w:rFonts w:ascii="Arial" w:hAnsi="Arial" w:cs="Arial"/>
              <w:sz w:val="16"/>
            </w:rPr>
            <w:t>s</w:t>
          </w:r>
          <w:r w:rsidRPr="00CB043A">
            <w:rPr>
              <w:rFonts w:ascii="Arial" w:hAnsi="Arial" w:cs="Arial"/>
              <w:sz w:val="16"/>
            </w:rPr>
            <w:t xml:space="preserve"> </w:t>
          </w:r>
          <w:r>
            <w:rPr>
              <w:rFonts w:ascii="Arial" w:hAnsi="Arial" w:cs="Arial"/>
              <w:sz w:val="16"/>
            </w:rPr>
            <w:t>universitet</w:t>
          </w:r>
        </w:p>
        <w:p w14:paraId="1EB06955" w14:textId="77777777" w:rsidR="00B7482B" w:rsidRDefault="00B7482B" w:rsidP="00921372">
          <w:pPr>
            <w:pStyle w:val="Sidfot"/>
            <w:spacing w:line="200" w:lineRule="exact"/>
            <w:jc w:val="left"/>
            <w:rPr>
              <w:rFonts w:ascii="Arial" w:hAnsi="Arial" w:cs="Arial"/>
              <w:sz w:val="16"/>
            </w:rPr>
          </w:pPr>
          <w:r w:rsidRPr="00CB043A">
            <w:rPr>
              <w:rFonts w:ascii="Arial" w:hAnsi="Arial" w:cs="Arial"/>
              <w:sz w:val="16"/>
            </w:rPr>
            <w:t>651 88  Karlstad</w:t>
          </w:r>
        </w:p>
        <w:p w14:paraId="70C5ACCE" w14:textId="77777777" w:rsidR="00B7482B" w:rsidRPr="00CB043A" w:rsidRDefault="00B7482B" w:rsidP="00921372">
          <w:pPr>
            <w:pStyle w:val="Sidfot"/>
            <w:spacing w:line="200" w:lineRule="exact"/>
            <w:jc w:val="left"/>
            <w:rPr>
              <w:rFonts w:ascii="Arial" w:hAnsi="Arial" w:cs="Arial"/>
              <w:sz w:val="16"/>
            </w:rPr>
          </w:pPr>
          <w:r w:rsidRPr="00CB043A">
            <w:rPr>
              <w:rFonts w:ascii="Arial" w:hAnsi="Arial" w:cs="Arial"/>
              <w:sz w:val="16"/>
            </w:rPr>
            <w:t xml:space="preserve">Tfn </w:t>
          </w:r>
          <w:r>
            <w:rPr>
              <w:rFonts w:ascii="Arial" w:hAnsi="Arial" w:cs="Arial"/>
              <w:sz w:val="16"/>
            </w:rPr>
            <w:t>054-</w:t>
          </w:r>
          <w:r w:rsidRPr="00CB043A">
            <w:rPr>
              <w:rFonts w:ascii="Arial" w:hAnsi="Arial" w:cs="Arial"/>
              <w:sz w:val="16"/>
            </w:rPr>
            <w:t>700 10 00</w:t>
          </w:r>
        </w:p>
        <w:p w14:paraId="6A834D40" w14:textId="77777777" w:rsidR="00B7482B" w:rsidRPr="00CB043A" w:rsidRDefault="00B7482B" w:rsidP="00921372">
          <w:pPr>
            <w:pStyle w:val="Sidfot"/>
            <w:spacing w:line="200" w:lineRule="exact"/>
            <w:jc w:val="left"/>
            <w:rPr>
              <w:rFonts w:ascii="Arial" w:hAnsi="Arial" w:cs="Arial"/>
              <w:sz w:val="16"/>
            </w:rPr>
          </w:pPr>
          <w:r w:rsidRPr="00CB043A">
            <w:rPr>
              <w:rFonts w:ascii="Arial" w:hAnsi="Arial" w:cs="Arial"/>
              <w:sz w:val="16"/>
            </w:rPr>
            <w:t xml:space="preserve">Fax </w:t>
          </w:r>
          <w:r>
            <w:rPr>
              <w:rFonts w:ascii="Arial" w:hAnsi="Arial" w:cs="Arial"/>
              <w:sz w:val="16"/>
            </w:rPr>
            <w:t>0</w:t>
          </w:r>
          <w:r w:rsidRPr="00CB043A">
            <w:rPr>
              <w:rFonts w:ascii="Arial" w:hAnsi="Arial" w:cs="Arial"/>
              <w:sz w:val="16"/>
            </w:rPr>
            <w:t>54</w:t>
          </w:r>
          <w:r>
            <w:rPr>
              <w:rFonts w:ascii="Arial" w:hAnsi="Arial" w:cs="Arial"/>
              <w:sz w:val="16"/>
            </w:rPr>
            <w:t>-</w:t>
          </w:r>
          <w:r w:rsidRPr="00CB043A">
            <w:rPr>
              <w:rFonts w:ascii="Arial" w:hAnsi="Arial" w:cs="Arial"/>
              <w:sz w:val="16"/>
            </w:rPr>
            <w:t>700 14 60</w:t>
          </w:r>
        </w:p>
        <w:p w14:paraId="4A37782D" w14:textId="77777777" w:rsidR="00B7482B" w:rsidRPr="00CB043A" w:rsidRDefault="00B7482B" w:rsidP="00921372">
          <w:pPr>
            <w:pStyle w:val="Sidfot"/>
            <w:spacing w:line="200" w:lineRule="exact"/>
            <w:jc w:val="left"/>
            <w:rPr>
              <w:rFonts w:ascii="Arial" w:hAnsi="Arial" w:cs="Arial"/>
              <w:sz w:val="16"/>
            </w:rPr>
          </w:pPr>
          <w:r w:rsidRPr="00CB043A">
            <w:rPr>
              <w:rFonts w:ascii="Arial" w:hAnsi="Arial" w:cs="Arial"/>
              <w:sz w:val="16"/>
            </w:rPr>
            <w:t>Information@kau.se</w:t>
          </w:r>
        </w:p>
      </w:tc>
      <w:tc>
        <w:tcPr>
          <w:tcW w:w="5635" w:type="dxa"/>
          <w:shd w:val="clear" w:color="auto" w:fill="auto"/>
        </w:tcPr>
        <w:p w14:paraId="4D0A2DB7" w14:textId="77777777" w:rsidR="00B7482B" w:rsidRPr="00CB043A" w:rsidRDefault="00B7482B" w:rsidP="00921372">
          <w:pPr>
            <w:pStyle w:val="Sidfot"/>
            <w:spacing w:line="200" w:lineRule="exact"/>
            <w:jc w:val="left"/>
            <w:rPr>
              <w:rFonts w:ascii="Arial" w:hAnsi="Arial" w:cs="Arial"/>
              <w:sz w:val="16"/>
            </w:rPr>
          </w:pPr>
        </w:p>
        <w:p w14:paraId="1A889761" w14:textId="77777777" w:rsidR="00B7482B" w:rsidRDefault="00B7482B" w:rsidP="00921372">
          <w:pPr>
            <w:pStyle w:val="Sidfot"/>
            <w:spacing w:line="200" w:lineRule="exact"/>
            <w:jc w:val="left"/>
            <w:rPr>
              <w:rFonts w:ascii="Arial" w:hAnsi="Arial" w:cs="Arial"/>
              <w:sz w:val="16"/>
            </w:rPr>
          </w:pPr>
        </w:p>
        <w:p w14:paraId="05242C2C" w14:textId="77777777" w:rsidR="00B7482B" w:rsidRPr="00CB043A" w:rsidRDefault="00B7482B" w:rsidP="00921372">
          <w:pPr>
            <w:pStyle w:val="Sidfot"/>
            <w:spacing w:after="100" w:afterAutospacing="1" w:line="240" w:lineRule="auto"/>
            <w:jc w:val="left"/>
            <w:rPr>
              <w:rFonts w:ascii="Arial" w:hAnsi="Arial" w:cs="Arial"/>
              <w:sz w:val="16"/>
            </w:rPr>
          </w:pPr>
        </w:p>
        <w:p w14:paraId="57BF55D8" w14:textId="77777777" w:rsidR="00B7482B" w:rsidRPr="002336DC" w:rsidRDefault="00B7482B" w:rsidP="00921372">
          <w:pPr>
            <w:pStyle w:val="Sidfot"/>
            <w:spacing w:line="240" w:lineRule="auto"/>
            <w:jc w:val="right"/>
            <w:rPr>
              <w:rFonts w:ascii="Helvetica" w:hAnsi="Helvetica" w:cs="Arial"/>
              <w:b/>
              <w:sz w:val="22"/>
              <w:szCs w:val="22"/>
            </w:rPr>
          </w:pPr>
          <w:r w:rsidRPr="002336DC">
            <w:rPr>
              <w:rFonts w:ascii="Helvetica" w:hAnsi="Helvetica" w:cs="Arial"/>
              <w:b/>
              <w:sz w:val="20"/>
              <w:szCs w:val="22"/>
            </w:rPr>
            <w:t>KAU.SE</w:t>
          </w:r>
        </w:p>
      </w:tc>
    </w:tr>
  </w:tbl>
  <w:p w14:paraId="469F3188" w14:textId="77777777" w:rsidR="00B7482B" w:rsidRPr="00383143" w:rsidRDefault="00B7482B" w:rsidP="00383143">
    <w:pPr>
      <w:pStyle w:val="Sidfot"/>
      <w:spacing w:line="240" w:lineRule="auto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02FEE" w14:textId="77777777" w:rsidR="00327781" w:rsidRDefault="00327781">
      <w:r>
        <w:separator/>
      </w:r>
    </w:p>
  </w:footnote>
  <w:footnote w:type="continuationSeparator" w:id="0">
    <w:p w14:paraId="4E88B306" w14:textId="77777777" w:rsidR="00327781" w:rsidRDefault="00327781">
      <w:r>
        <w:continuationSeparator/>
      </w:r>
    </w:p>
  </w:footnote>
  <w:footnote w:id="1">
    <w:p w14:paraId="2C889E0E" w14:textId="36DA87BE" w:rsidR="000135E6" w:rsidRDefault="000135E6">
      <w:pPr>
        <w:pStyle w:val="Fotnotstext"/>
      </w:pPr>
      <w:r>
        <w:rPr>
          <w:rStyle w:val="Fotnotsreferens"/>
        </w:rPr>
        <w:footnoteRef/>
      </w:r>
      <w:r>
        <w:t xml:space="preserve"> Högskoleförordningen 6 kap. 6-8 §§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8C7B8" w14:textId="79970BD2" w:rsidR="00B7482B" w:rsidRDefault="00B7482B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</w:p>
  <w:p w14:paraId="7F92ABFE" w14:textId="77777777" w:rsidR="00B7482B" w:rsidRDefault="00B7482B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717C" w14:textId="3D6782AE" w:rsidR="00B7482B" w:rsidRDefault="00B7482B">
    <w:pPr>
      <w:pStyle w:val="Sidhuvud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260A4E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260A4E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D43C9" w14:textId="671707E7" w:rsidR="00B7482B" w:rsidRDefault="00B7482B">
    <w:pPr>
      <w:pStyle w:val="Sidhuvud"/>
    </w:pPr>
  </w:p>
  <w:p w14:paraId="674E6104" w14:textId="77777777" w:rsidR="00B7482B" w:rsidRDefault="00B7482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310D"/>
    <w:multiLevelType w:val="hybridMultilevel"/>
    <w:tmpl w:val="EE76C2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C704A"/>
    <w:multiLevelType w:val="hybridMultilevel"/>
    <w:tmpl w:val="D9F08F9C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B4ADE"/>
    <w:multiLevelType w:val="hybridMultilevel"/>
    <w:tmpl w:val="E13A098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942057"/>
    <w:multiLevelType w:val="hybridMultilevel"/>
    <w:tmpl w:val="E8A22E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D3F23"/>
    <w:multiLevelType w:val="multilevel"/>
    <w:tmpl w:val="C91AA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F22C1D"/>
    <w:multiLevelType w:val="hybridMultilevel"/>
    <w:tmpl w:val="E3A607E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54045"/>
    <w:multiLevelType w:val="hybridMultilevel"/>
    <w:tmpl w:val="AF7EE6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6073B"/>
    <w:multiLevelType w:val="hybridMultilevel"/>
    <w:tmpl w:val="00ECB8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E11A4C"/>
    <w:multiLevelType w:val="hybridMultilevel"/>
    <w:tmpl w:val="C2B08B24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4637EC"/>
    <w:multiLevelType w:val="hybridMultilevel"/>
    <w:tmpl w:val="32CE57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941F5"/>
    <w:multiLevelType w:val="hybridMultilevel"/>
    <w:tmpl w:val="FA4CE5F0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2E1465"/>
    <w:multiLevelType w:val="hybridMultilevel"/>
    <w:tmpl w:val="529A35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86D9E"/>
    <w:multiLevelType w:val="hybridMultilevel"/>
    <w:tmpl w:val="173CB7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064766">
    <w:abstractNumId w:val="10"/>
  </w:num>
  <w:num w:numId="2" w16cid:durableId="2067678569">
    <w:abstractNumId w:val="1"/>
  </w:num>
  <w:num w:numId="3" w16cid:durableId="751464987">
    <w:abstractNumId w:val="8"/>
  </w:num>
  <w:num w:numId="4" w16cid:durableId="272827953">
    <w:abstractNumId w:val="5"/>
  </w:num>
  <w:num w:numId="5" w16cid:durableId="93402859">
    <w:abstractNumId w:val="6"/>
  </w:num>
  <w:num w:numId="6" w16cid:durableId="1176918130">
    <w:abstractNumId w:val="2"/>
  </w:num>
  <w:num w:numId="7" w16cid:durableId="444421521">
    <w:abstractNumId w:val="11"/>
  </w:num>
  <w:num w:numId="8" w16cid:durableId="1518032676">
    <w:abstractNumId w:val="3"/>
  </w:num>
  <w:num w:numId="9" w16cid:durableId="1058748698">
    <w:abstractNumId w:val="9"/>
  </w:num>
  <w:num w:numId="10" w16cid:durableId="1473331685">
    <w:abstractNumId w:val="12"/>
  </w:num>
  <w:num w:numId="11" w16cid:durableId="1042823353">
    <w:abstractNumId w:val="7"/>
  </w:num>
  <w:num w:numId="12" w16cid:durableId="1191988976">
    <w:abstractNumId w:val="0"/>
  </w:num>
  <w:num w:numId="13" w16cid:durableId="2830749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68B"/>
    <w:rsid w:val="000135E6"/>
    <w:rsid w:val="00071CEC"/>
    <w:rsid w:val="0007345F"/>
    <w:rsid w:val="0009035E"/>
    <w:rsid w:val="000B6894"/>
    <w:rsid w:val="000E7DC7"/>
    <w:rsid w:val="000F6543"/>
    <w:rsid w:val="001003C6"/>
    <w:rsid w:val="0011785B"/>
    <w:rsid w:val="00125174"/>
    <w:rsid w:val="00180246"/>
    <w:rsid w:val="001C4C4C"/>
    <w:rsid w:val="001D538D"/>
    <w:rsid w:val="00241A2C"/>
    <w:rsid w:val="00260A4E"/>
    <w:rsid w:val="002B25C4"/>
    <w:rsid w:val="002D6082"/>
    <w:rsid w:val="002D691F"/>
    <w:rsid w:val="002E6C12"/>
    <w:rsid w:val="00306841"/>
    <w:rsid w:val="00327781"/>
    <w:rsid w:val="00335424"/>
    <w:rsid w:val="00346887"/>
    <w:rsid w:val="00373487"/>
    <w:rsid w:val="00383143"/>
    <w:rsid w:val="003B229C"/>
    <w:rsid w:val="003E485B"/>
    <w:rsid w:val="003F37AF"/>
    <w:rsid w:val="00402E27"/>
    <w:rsid w:val="00410342"/>
    <w:rsid w:val="0042048D"/>
    <w:rsid w:val="00436677"/>
    <w:rsid w:val="0044732A"/>
    <w:rsid w:val="00451FFD"/>
    <w:rsid w:val="00452652"/>
    <w:rsid w:val="00487B57"/>
    <w:rsid w:val="00490162"/>
    <w:rsid w:val="004B6CCF"/>
    <w:rsid w:val="004C411C"/>
    <w:rsid w:val="004D10C0"/>
    <w:rsid w:val="00505A4D"/>
    <w:rsid w:val="00550BDB"/>
    <w:rsid w:val="00585884"/>
    <w:rsid w:val="005904FD"/>
    <w:rsid w:val="005B5A0D"/>
    <w:rsid w:val="005C55B1"/>
    <w:rsid w:val="005D3EF6"/>
    <w:rsid w:val="006134B2"/>
    <w:rsid w:val="00662D50"/>
    <w:rsid w:val="0072108D"/>
    <w:rsid w:val="007629A5"/>
    <w:rsid w:val="007A44B4"/>
    <w:rsid w:val="007F0E21"/>
    <w:rsid w:val="007F768B"/>
    <w:rsid w:val="00824F84"/>
    <w:rsid w:val="00876D99"/>
    <w:rsid w:val="00921372"/>
    <w:rsid w:val="00923FE5"/>
    <w:rsid w:val="00934BA6"/>
    <w:rsid w:val="009364D5"/>
    <w:rsid w:val="00944946"/>
    <w:rsid w:val="0094604B"/>
    <w:rsid w:val="0096083D"/>
    <w:rsid w:val="009762E6"/>
    <w:rsid w:val="009A1E33"/>
    <w:rsid w:val="009E2007"/>
    <w:rsid w:val="009F464A"/>
    <w:rsid w:val="009F4CCE"/>
    <w:rsid w:val="00A24E16"/>
    <w:rsid w:val="00A819A0"/>
    <w:rsid w:val="00AB7E6D"/>
    <w:rsid w:val="00AD5B05"/>
    <w:rsid w:val="00AF66F3"/>
    <w:rsid w:val="00B00F73"/>
    <w:rsid w:val="00B7482B"/>
    <w:rsid w:val="00B94AC6"/>
    <w:rsid w:val="00BB2010"/>
    <w:rsid w:val="00BC2334"/>
    <w:rsid w:val="00BD4FF6"/>
    <w:rsid w:val="00C1485A"/>
    <w:rsid w:val="00C33921"/>
    <w:rsid w:val="00C3491B"/>
    <w:rsid w:val="00C6564C"/>
    <w:rsid w:val="00CA636D"/>
    <w:rsid w:val="00CA63B1"/>
    <w:rsid w:val="00CA71E0"/>
    <w:rsid w:val="00CB40F4"/>
    <w:rsid w:val="00CD6D0C"/>
    <w:rsid w:val="00D13926"/>
    <w:rsid w:val="00D2514E"/>
    <w:rsid w:val="00D81B7E"/>
    <w:rsid w:val="00D917BE"/>
    <w:rsid w:val="00DA73F0"/>
    <w:rsid w:val="00DC12A1"/>
    <w:rsid w:val="00DD52E7"/>
    <w:rsid w:val="00E0234C"/>
    <w:rsid w:val="00E3116F"/>
    <w:rsid w:val="00E634B9"/>
    <w:rsid w:val="00E73C9D"/>
    <w:rsid w:val="00E842A5"/>
    <w:rsid w:val="00E84F3C"/>
    <w:rsid w:val="00EA60CC"/>
    <w:rsid w:val="00EB6F2E"/>
    <w:rsid w:val="00ED46F6"/>
    <w:rsid w:val="00EE2E51"/>
    <w:rsid w:val="00EF2F1E"/>
    <w:rsid w:val="00F128A8"/>
    <w:rsid w:val="00F269FC"/>
    <w:rsid w:val="00F40E12"/>
    <w:rsid w:val="00F5067C"/>
    <w:rsid w:val="00F5284A"/>
    <w:rsid w:val="00F6505B"/>
    <w:rsid w:val="00FA0ED3"/>
    <w:rsid w:val="00FA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F644FA"/>
  <w15:docId w15:val="{32BCD4AF-825D-487C-A9C1-038B8757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1B7E"/>
    <w:rPr>
      <w:sz w:val="24"/>
      <w:szCs w:val="24"/>
    </w:rPr>
  </w:style>
  <w:style w:type="paragraph" w:styleId="Rubrik1">
    <w:name w:val="heading 1"/>
    <w:basedOn w:val="Normal"/>
    <w:next w:val="Normal"/>
    <w:qFormat/>
    <w:rsid w:val="00436677"/>
    <w:pPr>
      <w:keepNext/>
      <w:spacing w:before="240" w:after="60"/>
      <w:outlineLvl w:val="0"/>
    </w:pPr>
    <w:rPr>
      <w:rFonts w:ascii="Garamond" w:hAnsi="Garamond" w:cs="Arial"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436677"/>
    <w:pPr>
      <w:keepNext/>
      <w:spacing w:before="240" w:after="60"/>
      <w:outlineLvl w:val="1"/>
    </w:pPr>
    <w:rPr>
      <w:rFonts w:ascii="Garamond" w:hAnsi="Garamond" w:cs="Arial"/>
      <w:bCs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436677"/>
    <w:pPr>
      <w:tabs>
        <w:tab w:val="center" w:pos="4536"/>
        <w:tab w:val="right" w:pos="9072"/>
      </w:tabs>
      <w:spacing w:line="220" w:lineRule="atLeast"/>
      <w:jc w:val="right"/>
    </w:pPr>
    <w:rPr>
      <w:rFonts w:ascii="Garamond" w:hAnsi="Garamond"/>
      <w:sz w:val="18"/>
    </w:rPr>
  </w:style>
  <w:style w:type="character" w:styleId="Sidnummer">
    <w:name w:val="page number"/>
    <w:rsid w:val="00436677"/>
    <w:rPr>
      <w:rFonts w:ascii="Garamond" w:hAnsi="Garamond"/>
      <w:dstrike w:val="0"/>
      <w:sz w:val="18"/>
      <w:szCs w:val="18"/>
      <w:vertAlign w:val="baseline"/>
    </w:rPr>
  </w:style>
  <w:style w:type="paragraph" w:styleId="Sidfot">
    <w:name w:val="footer"/>
    <w:basedOn w:val="Normal"/>
    <w:rsid w:val="00436677"/>
    <w:pPr>
      <w:tabs>
        <w:tab w:val="center" w:pos="4536"/>
        <w:tab w:val="right" w:pos="9072"/>
      </w:tabs>
      <w:spacing w:line="220" w:lineRule="atLeast"/>
      <w:jc w:val="center"/>
    </w:pPr>
    <w:rPr>
      <w:rFonts w:ascii="Garamond" w:hAnsi="Garamond"/>
      <w:sz w:val="18"/>
    </w:rPr>
  </w:style>
  <w:style w:type="table" w:styleId="Tabellrutnt">
    <w:name w:val="Table Grid"/>
    <w:basedOn w:val="Normaltabell"/>
    <w:uiPriority w:val="39"/>
    <w:rsid w:val="002B2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EF2F1E"/>
    <w:rPr>
      <w:color w:val="0000FF" w:themeColor="hyperlink"/>
      <w:u w:val="single"/>
    </w:rPr>
  </w:style>
  <w:style w:type="paragraph" w:styleId="Fotnotstext">
    <w:name w:val="footnote text"/>
    <w:basedOn w:val="Normal"/>
    <w:link w:val="FotnotstextChar"/>
    <w:uiPriority w:val="99"/>
    <w:unhideWhenUsed/>
    <w:rsid w:val="00EF2F1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EF2F1E"/>
    <w:rPr>
      <w:rFonts w:asciiTheme="minorHAnsi" w:eastAsiaTheme="minorHAnsi" w:hAnsiTheme="minorHAnsi" w:cstheme="minorBidi"/>
      <w:lang w:eastAsia="en-US"/>
    </w:rPr>
  </w:style>
  <w:style w:type="character" w:styleId="Fotnotsreferens">
    <w:name w:val="footnote reference"/>
    <w:basedOn w:val="Standardstycketeckensnitt"/>
    <w:uiPriority w:val="99"/>
    <w:unhideWhenUsed/>
    <w:rsid w:val="00EF2F1E"/>
    <w:rPr>
      <w:vertAlign w:val="superscript"/>
    </w:rPr>
  </w:style>
  <w:style w:type="paragraph" w:styleId="Rubrik">
    <w:name w:val="Title"/>
    <w:basedOn w:val="Normal"/>
    <w:next w:val="Normal"/>
    <w:link w:val="RubrikChar"/>
    <w:uiPriority w:val="10"/>
    <w:qFormat/>
    <w:rsid w:val="00EF2F1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EF2F1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Liststycke">
    <w:name w:val="List Paragraph"/>
    <w:basedOn w:val="Normal"/>
    <w:uiPriority w:val="34"/>
    <w:qFormat/>
    <w:rsid w:val="00F40E12"/>
    <w:pPr>
      <w:ind w:left="720"/>
      <w:contextualSpacing/>
    </w:pPr>
    <w:rPr>
      <w:rFonts w:ascii="Garamond" w:hAnsi="Garamond"/>
    </w:rPr>
  </w:style>
  <w:style w:type="paragraph" w:styleId="Ballongtext">
    <w:name w:val="Balloon Text"/>
    <w:basedOn w:val="Normal"/>
    <w:link w:val="BallongtextChar"/>
    <w:semiHidden/>
    <w:unhideWhenUsed/>
    <w:rsid w:val="000B6894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0B6894"/>
    <w:rPr>
      <w:rFonts w:ascii="Segoe UI" w:hAnsi="Segoe UI" w:cs="Segoe UI"/>
      <w:sz w:val="18"/>
      <w:szCs w:val="18"/>
    </w:rPr>
  </w:style>
  <w:style w:type="character" w:styleId="AnvndHyperlnk">
    <w:name w:val="FollowedHyperlink"/>
    <w:basedOn w:val="Standardstycketeckensnitt"/>
    <w:rsid w:val="007A44B4"/>
    <w:rPr>
      <w:color w:val="800080" w:themeColor="followedHyperlink"/>
      <w:u w:val="single"/>
    </w:rPr>
  </w:style>
  <w:style w:type="character" w:customStyle="1" w:styleId="Olstomnmnande1">
    <w:name w:val="Olöst omnämnande1"/>
    <w:basedOn w:val="Standardstycketeckensnitt"/>
    <w:rsid w:val="00A24E16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semiHidden/>
    <w:unhideWhenUsed/>
    <w:rsid w:val="006134B2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6134B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6134B2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6134B2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6134B2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96083D"/>
    <w:pPr>
      <w:spacing w:before="100" w:beforeAutospacing="1" w:after="100" w:afterAutospacing="1"/>
    </w:pPr>
    <w:rPr>
      <w:rFonts w:eastAsiaTheme="minorEastAsia"/>
    </w:rPr>
  </w:style>
  <w:style w:type="character" w:styleId="Stark">
    <w:name w:val="Strong"/>
    <w:basedOn w:val="Standardstycketeckensnitt"/>
    <w:uiPriority w:val="22"/>
    <w:qFormat/>
    <w:rsid w:val="00E84F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tudent.ladok.se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fie.buskqvist@kau.s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ofie.buskqvist@kau.s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eksandra.jensen@kau.s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BF226-1672-4BFB-8D56-08C92DD46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2634</Characters>
  <Application>Microsoft Office Word</Application>
  <DocSecurity>0</DocSecurity>
  <Lines>21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Mallar och sån’t</vt:lpstr>
      <vt:lpstr>Mallar och sån’t</vt:lpstr>
    </vt:vector>
  </TitlesOfParts>
  <Company>Karlstads universitet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Mallar och sån’t</dc:title>
  <dc:creator>Kerstin Haraldsson</dc:creator>
  <cp:lastModifiedBy>Kerstin M. Haraldsson</cp:lastModifiedBy>
  <cp:revision>2</cp:revision>
  <cp:lastPrinted>2023-01-14T13:11:00Z</cp:lastPrinted>
  <dcterms:created xsi:type="dcterms:W3CDTF">2023-06-29T08:20:00Z</dcterms:created>
  <dcterms:modified xsi:type="dcterms:W3CDTF">2023-06-29T08:20:00Z</dcterms:modified>
</cp:coreProperties>
</file>