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  <w:r w:rsidRPr="0055292B">
        <w:rPr>
          <w:rFonts w:ascii="Georgia" w:hAnsi="Georgia"/>
          <w:noProof/>
        </w:rPr>
        <w:drawing>
          <wp:anchor distT="540385" distB="0" distL="540385" distR="114300" simplePos="0" relativeHeight="251660288" behindDoc="1" locked="0" layoutInCell="1" allowOverlap="1" wp14:anchorId="22394BBF" wp14:editId="0B1B9E61">
            <wp:simplePos x="0" y="0"/>
            <wp:positionH relativeFrom="column">
              <wp:posOffset>-118745</wp:posOffset>
            </wp:positionH>
            <wp:positionV relativeFrom="paragraph">
              <wp:posOffset>-517525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" name="Bildobjekt 2" descr="kau_2011_rgb_jpg_1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_2011_rgb_jpg_160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Default="00453522" w:rsidP="00453522">
      <w:pPr>
        <w:pStyle w:val="Sidhuvud"/>
        <w:jc w:val="center"/>
        <w:rPr>
          <w:rFonts w:ascii="Georgia" w:hAnsi="Georgia"/>
        </w:rPr>
      </w:pPr>
    </w:p>
    <w:p w:rsidR="000506B8" w:rsidRDefault="000506B8" w:rsidP="00453522">
      <w:pPr>
        <w:pStyle w:val="Sidhuvud"/>
        <w:jc w:val="center"/>
        <w:rPr>
          <w:rFonts w:ascii="Georgia" w:hAnsi="Georgia"/>
        </w:rPr>
      </w:pPr>
    </w:p>
    <w:tbl>
      <w:tblPr>
        <w:tblW w:w="0" w:type="auto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53522" w:rsidRPr="0055292B" w:rsidTr="00C265A4">
        <w:tc>
          <w:tcPr>
            <w:tcW w:w="4395" w:type="dxa"/>
            <w:shd w:val="clear" w:color="auto" w:fill="auto"/>
          </w:tcPr>
          <w:p w:rsidR="00453522" w:rsidRPr="00453522" w:rsidRDefault="00453522" w:rsidP="00C265A4">
            <w:pPr>
              <w:pStyle w:val="Sidhuvud"/>
              <w:ind w:left="-851"/>
              <w:jc w:val="left"/>
              <w:rPr>
                <w:rFonts w:ascii="Georgia" w:hAnsi="Georgia"/>
              </w:rPr>
            </w:pPr>
          </w:p>
        </w:tc>
      </w:tr>
    </w:tbl>
    <w:p w:rsidR="00453522" w:rsidRPr="00453522" w:rsidRDefault="00453522" w:rsidP="00453522">
      <w:pPr>
        <w:pStyle w:val="Sidhuvud"/>
        <w:ind w:left="-851"/>
        <w:jc w:val="center"/>
        <w:rPr>
          <w:rFonts w:ascii="Georgia" w:hAnsi="Georgia"/>
        </w:rPr>
      </w:pPr>
    </w:p>
    <w:p w:rsidR="00453522" w:rsidRPr="00CE1010" w:rsidRDefault="00453522" w:rsidP="00453522">
      <w:pPr>
        <w:pStyle w:val="Sidhuvud"/>
        <w:jc w:val="left"/>
        <w:rPr>
          <w:rFonts w:ascii="Georgia" w:hAnsi="Georgia"/>
          <w:sz w:val="16"/>
          <w:lang w:val="en-GB"/>
        </w:rPr>
      </w:pPr>
      <w:r w:rsidRPr="00CE1010">
        <w:rPr>
          <w:rFonts w:ascii="Georgia" w:hAnsi="Georgia"/>
          <w:sz w:val="16"/>
          <w:lang w:val="en-GB"/>
        </w:rPr>
        <w:t>Faculty of Health, Science and Technology</w:t>
      </w:r>
    </w:p>
    <w:p w:rsidR="00453522" w:rsidRPr="00CE1010" w:rsidRDefault="009E50B3" w:rsidP="00453522">
      <w:pPr>
        <w:pStyle w:val="Sidhuvud"/>
        <w:jc w:val="left"/>
        <w:rPr>
          <w:rFonts w:ascii="Georgia" w:hAnsi="Georgia"/>
          <w:sz w:val="16"/>
          <w:lang w:val="en-GB"/>
        </w:rPr>
      </w:pPr>
      <w:r>
        <w:rPr>
          <w:rFonts w:ascii="Georgia" w:hAnsi="Georgia"/>
          <w:sz w:val="16"/>
          <w:lang w:val="en-GB"/>
        </w:rPr>
        <w:t>Materials E</w:t>
      </w:r>
      <w:r w:rsidR="00F73387" w:rsidRPr="00CE1010">
        <w:rPr>
          <w:rFonts w:ascii="Georgia" w:hAnsi="Georgia"/>
          <w:sz w:val="16"/>
          <w:lang w:val="en-GB"/>
        </w:rPr>
        <w:t>ngineering</w:t>
      </w:r>
    </w:p>
    <w:p w:rsidR="00453522" w:rsidRPr="00CE1010" w:rsidRDefault="00453522" w:rsidP="00453522">
      <w:pPr>
        <w:pStyle w:val="Sidhuvud"/>
        <w:jc w:val="left"/>
        <w:rPr>
          <w:rFonts w:ascii="Georgia" w:hAnsi="Georgia"/>
          <w:sz w:val="16"/>
          <w:lang w:val="en-GB"/>
        </w:rPr>
      </w:pPr>
    </w:p>
    <w:p w:rsidR="00453522" w:rsidRPr="00CE1010" w:rsidRDefault="00453522" w:rsidP="00453522">
      <w:pPr>
        <w:pStyle w:val="Sidhuvud"/>
        <w:jc w:val="left"/>
        <w:rPr>
          <w:rFonts w:ascii="Georgia" w:hAnsi="Georgia"/>
          <w:sz w:val="16"/>
          <w:lang w:val="en-GB"/>
        </w:rPr>
      </w:pPr>
    </w:p>
    <w:p w:rsidR="00453522" w:rsidRPr="00CE1010" w:rsidRDefault="00453522" w:rsidP="00453522">
      <w:pPr>
        <w:pStyle w:val="Sidhuvud"/>
        <w:jc w:val="left"/>
        <w:rPr>
          <w:rFonts w:ascii="Georgia" w:hAnsi="Georgia"/>
          <w:sz w:val="16"/>
          <w:lang w:val="en-GB"/>
        </w:rPr>
      </w:pPr>
    </w:p>
    <w:p w:rsidR="00453522" w:rsidRPr="00CE1010" w:rsidRDefault="00453522" w:rsidP="00453522">
      <w:pPr>
        <w:pStyle w:val="Sidhuvud"/>
        <w:jc w:val="left"/>
        <w:rPr>
          <w:rFonts w:ascii="Calibri" w:hAnsi="Calibri" w:cs="Arial"/>
          <w:b/>
          <w:sz w:val="40"/>
          <w:szCs w:val="40"/>
          <w:lang w:val="en-GB"/>
        </w:rPr>
      </w:pPr>
      <w:r w:rsidRPr="00CE1010">
        <w:rPr>
          <w:rFonts w:ascii="Calibri" w:hAnsi="Calibri" w:cs="Arial"/>
          <w:b/>
          <w:sz w:val="40"/>
          <w:szCs w:val="40"/>
          <w:lang w:val="en-GB"/>
        </w:rPr>
        <w:t>Syllabus</w:t>
      </w:r>
    </w:p>
    <w:p w:rsidR="00453522" w:rsidRPr="00CE1010" w:rsidRDefault="00453522" w:rsidP="00453522">
      <w:pPr>
        <w:pStyle w:val="Sidhuvud"/>
        <w:jc w:val="left"/>
        <w:rPr>
          <w:rFonts w:ascii="Calibri" w:hAnsi="Calibri" w:cs="Arial"/>
          <w:b/>
          <w:sz w:val="16"/>
          <w:szCs w:val="16"/>
          <w:lang w:val="en-GB"/>
        </w:rPr>
      </w:pPr>
    </w:p>
    <w:p w:rsidR="00453522" w:rsidRPr="00CE1010" w:rsidRDefault="00F73387" w:rsidP="00453522">
      <w:pPr>
        <w:tabs>
          <w:tab w:val="right" w:pos="7938"/>
        </w:tabs>
        <w:rPr>
          <w:rFonts w:ascii="Calibri" w:hAnsi="Calibri" w:cs="Arial"/>
          <w:b/>
          <w:sz w:val="16"/>
          <w:szCs w:val="16"/>
          <w:lang w:val="en-GB"/>
        </w:rPr>
      </w:pPr>
      <w:r w:rsidRPr="00CE1010">
        <w:rPr>
          <w:rFonts w:ascii="Calibri" w:hAnsi="Calibri" w:cs="Arial"/>
          <w:b/>
          <w:sz w:val="32"/>
          <w:szCs w:val="32"/>
          <w:lang w:val="en-GB"/>
        </w:rPr>
        <w:t>Phase Transformation in Metals and Alloys</w:t>
      </w:r>
    </w:p>
    <w:p w:rsidR="00453522" w:rsidRPr="00CE1010" w:rsidRDefault="00453522" w:rsidP="00453522">
      <w:pPr>
        <w:pStyle w:val="Rubrik2"/>
        <w:tabs>
          <w:tab w:val="left" w:pos="1701"/>
        </w:tabs>
        <w:rPr>
          <w:rFonts w:ascii="Georgia" w:hAnsi="Georgia"/>
          <w:b/>
          <w:sz w:val="16"/>
          <w:szCs w:val="16"/>
          <w:lang w:val="en-GB"/>
        </w:rPr>
      </w:pPr>
    </w:p>
    <w:p w:rsidR="00453522" w:rsidRPr="00CE1010" w:rsidRDefault="00453522" w:rsidP="00453522">
      <w:pPr>
        <w:pStyle w:val="Rubrik2"/>
        <w:tabs>
          <w:tab w:val="left" w:pos="1701"/>
        </w:tabs>
        <w:rPr>
          <w:rFonts w:ascii="Georgia" w:hAnsi="Georgia"/>
          <w:b/>
          <w:sz w:val="16"/>
          <w:szCs w:val="16"/>
          <w:lang w:val="en-GB"/>
        </w:rPr>
      </w:pPr>
    </w:p>
    <w:p w:rsidR="00453522" w:rsidRPr="00CE1010" w:rsidRDefault="00453522" w:rsidP="00453522">
      <w:pPr>
        <w:pStyle w:val="Rubrik2"/>
        <w:tabs>
          <w:tab w:val="left" w:pos="1985"/>
        </w:tabs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b/>
          <w:sz w:val="22"/>
          <w:szCs w:val="22"/>
          <w:lang w:val="en-GB"/>
        </w:rPr>
        <w:t>Course Code:</w:t>
      </w:r>
      <w:r w:rsidRPr="00CE1010">
        <w:rPr>
          <w:rFonts w:ascii="Georgia" w:hAnsi="Georgia"/>
          <w:b/>
          <w:sz w:val="22"/>
          <w:szCs w:val="22"/>
          <w:lang w:val="en-GB"/>
        </w:rPr>
        <w:tab/>
      </w:r>
      <w:r w:rsidR="004E5396" w:rsidRPr="004E5396">
        <w:rPr>
          <w:rFonts w:ascii="Georgia" w:hAnsi="Georgia"/>
          <w:sz w:val="22"/>
          <w:szCs w:val="22"/>
          <w:lang w:val="en-GB"/>
        </w:rPr>
        <w:t>7MTT102</w:t>
      </w:r>
      <w:r w:rsidRPr="004E5396">
        <w:rPr>
          <w:rFonts w:ascii="Georgia" w:hAnsi="Georgia"/>
          <w:sz w:val="22"/>
          <w:szCs w:val="22"/>
          <w:lang w:val="en-GB"/>
        </w:rPr>
        <w:br/>
      </w:r>
      <w:r w:rsidRPr="00CE1010">
        <w:rPr>
          <w:rFonts w:ascii="Georgia" w:hAnsi="Georgia"/>
          <w:b/>
          <w:sz w:val="22"/>
          <w:szCs w:val="22"/>
          <w:lang w:val="en-GB"/>
        </w:rPr>
        <w:t xml:space="preserve">Course Title: </w:t>
      </w:r>
      <w:r w:rsidRPr="00CE1010">
        <w:rPr>
          <w:rFonts w:ascii="Georgia" w:hAnsi="Georgia"/>
          <w:b/>
          <w:sz w:val="22"/>
          <w:szCs w:val="22"/>
          <w:lang w:val="en-GB"/>
        </w:rPr>
        <w:tab/>
      </w:r>
      <w:r w:rsidR="00071BC2" w:rsidRPr="00CE1010">
        <w:rPr>
          <w:rFonts w:ascii="Georgia" w:hAnsi="Georgia"/>
          <w:sz w:val="22"/>
          <w:szCs w:val="22"/>
          <w:lang w:val="en-GB"/>
        </w:rPr>
        <w:t>Phase Transformation in Metals and Alloys</w:t>
      </w:r>
    </w:p>
    <w:p w:rsidR="00453522" w:rsidRPr="00CE1010" w:rsidRDefault="00453522" w:rsidP="00453522">
      <w:pPr>
        <w:pStyle w:val="Rubrik2"/>
        <w:tabs>
          <w:tab w:val="left" w:pos="1985"/>
        </w:tabs>
        <w:rPr>
          <w:rFonts w:ascii="Georgia" w:hAnsi="Georgia"/>
          <w:b/>
          <w:sz w:val="22"/>
          <w:szCs w:val="22"/>
        </w:rPr>
      </w:pPr>
      <w:r w:rsidRPr="00CE1010">
        <w:rPr>
          <w:rFonts w:ascii="Georgia" w:hAnsi="Georgia"/>
          <w:i/>
          <w:sz w:val="22"/>
          <w:szCs w:val="22"/>
          <w:lang w:val="en-GB"/>
        </w:rPr>
        <w:tab/>
      </w:r>
      <w:r w:rsidR="00071BC2" w:rsidRPr="00CE1010">
        <w:rPr>
          <w:rFonts w:ascii="Georgia" w:hAnsi="Georgia"/>
          <w:i/>
          <w:sz w:val="22"/>
          <w:szCs w:val="22"/>
        </w:rPr>
        <w:t>Fasomvandling i metaller och legeringar</w:t>
      </w:r>
    </w:p>
    <w:p w:rsidR="00171414" w:rsidRPr="00171414" w:rsidRDefault="00171414" w:rsidP="00453522">
      <w:pPr>
        <w:pStyle w:val="Rubrik2"/>
        <w:tabs>
          <w:tab w:val="left" w:pos="1985"/>
        </w:tabs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Subject</w:t>
      </w:r>
      <w:proofErr w:type="spellEnd"/>
      <w:r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b/>
          <w:sz w:val="22"/>
          <w:szCs w:val="22"/>
        </w:rPr>
        <w:tab/>
      </w:r>
      <w:r w:rsidR="009E50B3">
        <w:rPr>
          <w:rFonts w:ascii="Georgia" w:hAnsi="Georgia"/>
          <w:sz w:val="22"/>
          <w:szCs w:val="22"/>
        </w:rPr>
        <w:t xml:space="preserve">Materials </w:t>
      </w:r>
      <w:proofErr w:type="spellStart"/>
      <w:r w:rsidR="009E50B3">
        <w:rPr>
          <w:rFonts w:ascii="Georgia" w:hAnsi="Georgia"/>
          <w:sz w:val="22"/>
          <w:szCs w:val="22"/>
        </w:rPr>
        <w:t>E</w:t>
      </w:r>
      <w:r>
        <w:rPr>
          <w:rFonts w:ascii="Georgia" w:hAnsi="Georgia"/>
          <w:sz w:val="22"/>
          <w:szCs w:val="22"/>
        </w:rPr>
        <w:t>ngineering</w:t>
      </w:r>
      <w:proofErr w:type="spellEnd"/>
    </w:p>
    <w:p w:rsidR="00453522" w:rsidRPr="009E50B3" w:rsidRDefault="00453522" w:rsidP="00453522">
      <w:pPr>
        <w:pStyle w:val="Rubrik2"/>
        <w:tabs>
          <w:tab w:val="left" w:pos="1985"/>
        </w:tabs>
        <w:rPr>
          <w:rFonts w:ascii="Georgia" w:hAnsi="Georgia"/>
          <w:sz w:val="22"/>
          <w:szCs w:val="22"/>
          <w:lang w:val="en-US"/>
        </w:rPr>
      </w:pPr>
      <w:r w:rsidRPr="009E50B3">
        <w:rPr>
          <w:rFonts w:ascii="Georgia" w:hAnsi="Georgia"/>
          <w:b/>
          <w:sz w:val="22"/>
          <w:szCs w:val="22"/>
          <w:lang w:val="en-US"/>
        </w:rPr>
        <w:t>Credits:</w:t>
      </w:r>
      <w:r w:rsidRPr="009E50B3">
        <w:rPr>
          <w:rFonts w:ascii="Georgia" w:hAnsi="Georgia"/>
          <w:b/>
          <w:sz w:val="22"/>
          <w:szCs w:val="22"/>
          <w:lang w:val="en-US"/>
        </w:rPr>
        <w:tab/>
      </w:r>
      <w:r w:rsidR="00071BC2" w:rsidRPr="009E50B3">
        <w:rPr>
          <w:rFonts w:ascii="Georgia" w:hAnsi="Georgia"/>
          <w:sz w:val="22"/>
          <w:szCs w:val="22"/>
          <w:lang w:val="en-US"/>
        </w:rPr>
        <w:t>7.5</w:t>
      </w:r>
      <w:r w:rsidRPr="009E50B3">
        <w:rPr>
          <w:rFonts w:ascii="Georgia" w:hAnsi="Georgia"/>
          <w:sz w:val="22"/>
          <w:szCs w:val="22"/>
          <w:lang w:val="en-US"/>
        </w:rPr>
        <w:t xml:space="preserve"> ECTS</w:t>
      </w:r>
    </w:p>
    <w:p w:rsidR="00453522" w:rsidRPr="00CE1010" w:rsidRDefault="00453522" w:rsidP="00453522">
      <w:pPr>
        <w:tabs>
          <w:tab w:val="left" w:pos="1985"/>
          <w:tab w:val="right" w:pos="7938"/>
        </w:tabs>
        <w:rPr>
          <w:rFonts w:ascii="Calibri" w:hAnsi="Calibri" w:cs="Arial"/>
          <w:sz w:val="22"/>
          <w:szCs w:val="22"/>
          <w:lang w:val="en-GB"/>
        </w:rPr>
      </w:pPr>
      <w:r w:rsidRPr="00CE1010">
        <w:rPr>
          <w:rFonts w:ascii="Georgia" w:hAnsi="Georgia"/>
          <w:b/>
          <w:sz w:val="22"/>
          <w:szCs w:val="22"/>
          <w:lang w:val="en-GB"/>
        </w:rPr>
        <w:t>Degree Level:</w:t>
      </w:r>
      <w:r w:rsidRPr="00CE1010">
        <w:rPr>
          <w:rFonts w:ascii="Georgia" w:hAnsi="Georgia"/>
          <w:b/>
          <w:sz w:val="22"/>
          <w:szCs w:val="22"/>
          <w:lang w:val="en-GB"/>
        </w:rPr>
        <w:tab/>
      </w:r>
      <w:r w:rsidRPr="00CE1010">
        <w:rPr>
          <w:rFonts w:ascii="Georgia" w:hAnsi="Georgia"/>
          <w:sz w:val="22"/>
          <w:szCs w:val="22"/>
          <w:lang w:val="en-GB"/>
        </w:rPr>
        <w:t>Doctoral</w:t>
      </w:r>
    </w:p>
    <w:p w:rsidR="00453522" w:rsidRPr="0055292B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</w:p>
    <w:p w:rsidR="00453522" w:rsidRPr="00472086" w:rsidRDefault="00453522" w:rsidP="00453522">
      <w:pPr>
        <w:rPr>
          <w:lang w:val="en-GB"/>
        </w:rPr>
      </w:pPr>
    </w:p>
    <w:p w:rsidR="00453522" w:rsidRPr="0055292B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55292B">
        <w:rPr>
          <w:rFonts w:ascii="Georgia" w:hAnsi="Georgia"/>
          <w:b/>
          <w:sz w:val="22"/>
          <w:szCs w:val="22"/>
          <w:lang w:val="en-GB"/>
        </w:rPr>
        <w:t>Course Approval</w:t>
      </w:r>
    </w:p>
    <w:p w:rsidR="00453522" w:rsidRPr="0055292B" w:rsidRDefault="00453522" w:rsidP="00453522">
      <w:pPr>
        <w:rPr>
          <w:rFonts w:ascii="Georgia" w:hAnsi="Georgia"/>
          <w:sz w:val="22"/>
          <w:szCs w:val="22"/>
          <w:lang w:val="en-GB"/>
        </w:rPr>
      </w:pPr>
      <w:r w:rsidRPr="0055292B">
        <w:rPr>
          <w:rFonts w:ascii="Georgia" w:hAnsi="Georgia"/>
          <w:sz w:val="22"/>
          <w:szCs w:val="22"/>
          <w:lang w:val="en-GB"/>
        </w:rPr>
        <w:t xml:space="preserve">The syllabus </w:t>
      </w:r>
      <w:proofErr w:type="gramStart"/>
      <w:r w:rsidRPr="0055292B">
        <w:rPr>
          <w:rFonts w:ascii="Georgia" w:hAnsi="Georgia"/>
          <w:sz w:val="22"/>
          <w:szCs w:val="22"/>
          <w:lang w:val="en-GB"/>
        </w:rPr>
        <w:t>was approved</w:t>
      </w:r>
      <w:proofErr w:type="gramEnd"/>
      <w:r w:rsidRPr="0055292B">
        <w:rPr>
          <w:rFonts w:ascii="Georgia" w:hAnsi="Georgia"/>
          <w:sz w:val="22"/>
          <w:szCs w:val="22"/>
          <w:lang w:val="en-GB"/>
        </w:rPr>
        <w:t xml:space="preserve"> </w:t>
      </w:r>
      <w:r w:rsidRPr="00171414">
        <w:rPr>
          <w:rFonts w:ascii="Georgia" w:hAnsi="Georgia"/>
          <w:sz w:val="22"/>
          <w:szCs w:val="22"/>
          <w:lang w:val="en-GB"/>
        </w:rPr>
        <w:t xml:space="preserve">by the Faculty of Health, Science and Technology, </w:t>
      </w:r>
      <w:r w:rsidRPr="00171414">
        <w:rPr>
          <w:rFonts w:ascii="Georgia" w:hAnsi="Georgia"/>
          <w:sz w:val="22"/>
          <w:szCs w:val="22"/>
          <w:lang w:val="en-GB"/>
        </w:rPr>
        <w:br/>
      </w:r>
      <w:r w:rsidR="00171414" w:rsidRPr="00171414">
        <w:rPr>
          <w:rFonts w:ascii="Georgia" w:hAnsi="Georgia"/>
          <w:sz w:val="22"/>
          <w:szCs w:val="22"/>
          <w:lang w:val="en-GB"/>
        </w:rPr>
        <w:t xml:space="preserve">28 April 2021 </w:t>
      </w:r>
      <w:r w:rsidRPr="00171414">
        <w:rPr>
          <w:rFonts w:ascii="Georgia" w:hAnsi="Georgia"/>
          <w:sz w:val="22"/>
          <w:szCs w:val="22"/>
          <w:lang w:val="en-GB"/>
        </w:rPr>
        <w:t xml:space="preserve">and is valid from the </w:t>
      </w:r>
      <w:r w:rsidR="00171414" w:rsidRPr="00171414">
        <w:rPr>
          <w:rFonts w:ascii="Georgia" w:hAnsi="Georgia"/>
          <w:sz w:val="22"/>
          <w:szCs w:val="22"/>
          <w:lang w:val="en-GB"/>
        </w:rPr>
        <w:t>spring semester 2021</w:t>
      </w:r>
      <w:r w:rsidRPr="00171414">
        <w:rPr>
          <w:rFonts w:ascii="Georgia" w:hAnsi="Georgia"/>
          <w:sz w:val="22"/>
          <w:szCs w:val="22"/>
          <w:lang w:val="en-GB"/>
        </w:rPr>
        <w:t>.</w:t>
      </w:r>
    </w:p>
    <w:p w:rsidR="00453522" w:rsidRPr="0055292B" w:rsidRDefault="00453522" w:rsidP="00453522">
      <w:pPr>
        <w:pStyle w:val="Rubrik2"/>
        <w:rPr>
          <w:rFonts w:ascii="Georgia" w:hAnsi="Georgia"/>
          <w:sz w:val="22"/>
          <w:szCs w:val="22"/>
          <w:lang w:val="en-GB"/>
        </w:rPr>
      </w:pPr>
    </w:p>
    <w:p w:rsidR="00453522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472086">
        <w:rPr>
          <w:rFonts w:ascii="Georgia" w:hAnsi="Georgia"/>
          <w:b/>
          <w:sz w:val="22"/>
          <w:szCs w:val="22"/>
          <w:lang w:val="en-GB"/>
        </w:rPr>
        <w:t>Language of instruction</w:t>
      </w:r>
    </w:p>
    <w:p w:rsidR="00F73387" w:rsidRDefault="00453522" w:rsidP="00453522">
      <w:pPr>
        <w:rPr>
          <w:rFonts w:ascii="Georgia" w:hAnsi="Georgia"/>
          <w:lang w:val="en-GB"/>
        </w:rPr>
      </w:pPr>
      <w:r w:rsidRPr="00046EB4">
        <w:rPr>
          <w:rFonts w:ascii="Georgia" w:hAnsi="Georgia"/>
          <w:lang w:val="en-GB"/>
        </w:rPr>
        <w:t>English</w:t>
      </w:r>
    </w:p>
    <w:p w:rsidR="00453522" w:rsidRPr="00472086" w:rsidRDefault="00453522" w:rsidP="00453522">
      <w:pPr>
        <w:rPr>
          <w:lang w:val="en-GB"/>
        </w:rPr>
      </w:pPr>
    </w:p>
    <w:p w:rsidR="00453522" w:rsidRPr="00CE1010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CE1010">
        <w:rPr>
          <w:rFonts w:ascii="Georgia" w:hAnsi="Georgia"/>
          <w:b/>
          <w:sz w:val="22"/>
          <w:szCs w:val="22"/>
          <w:lang w:val="en-GB"/>
        </w:rPr>
        <w:t>Prerequisites</w:t>
      </w:r>
    </w:p>
    <w:p w:rsidR="00453522" w:rsidRPr="00171414" w:rsidRDefault="00171414" w:rsidP="00453522">
      <w:pPr>
        <w:pStyle w:val="Rubrik2"/>
        <w:rPr>
          <w:rFonts w:ascii="Georgia" w:hAnsi="Georgia"/>
          <w:sz w:val="22"/>
          <w:szCs w:val="22"/>
          <w:lang w:val="en-GB"/>
        </w:rPr>
      </w:pPr>
      <w:r w:rsidRPr="00171414">
        <w:rPr>
          <w:rFonts w:ascii="Georgia" w:hAnsi="Georgia"/>
          <w:sz w:val="22"/>
          <w:szCs w:val="22"/>
          <w:lang w:val="en-US"/>
        </w:rPr>
        <w:t>A</w:t>
      </w:r>
      <w:proofErr w:type="spellStart"/>
      <w:r w:rsidRPr="00171414">
        <w:rPr>
          <w:rFonts w:ascii="Georgia" w:hAnsi="Georgia"/>
          <w:sz w:val="22"/>
          <w:szCs w:val="22"/>
          <w:lang w:val="en-GB"/>
        </w:rPr>
        <w:t>dmitted</w:t>
      </w:r>
      <w:proofErr w:type="spellEnd"/>
      <w:r w:rsidRPr="00171414">
        <w:rPr>
          <w:rFonts w:ascii="Georgia" w:hAnsi="Georgia"/>
          <w:sz w:val="22"/>
          <w:szCs w:val="22"/>
          <w:lang w:val="en-GB"/>
        </w:rPr>
        <w:t xml:space="preserve"> as PhD student at Karlstad University or another university and having a master’s degree, or equivalent, with a profile in materials engineering, or a related field such as materials science, physics or chemistry. Students who have acquired equivalent knowledge in some other way </w:t>
      </w:r>
      <w:proofErr w:type="gramStart"/>
      <w:r w:rsidRPr="00171414">
        <w:rPr>
          <w:rFonts w:ascii="Georgia" w:hAnsi="Georgia"/>
          <w:sz w:val="22"/>
          <w:szCs w:val="22"/>
          <w:lang w:val="en-GB"/>
        </w:rPr>
        <w:t>may be deemed</w:t>
      </w:r>
      <w:proofErr w:type="gramEnd"/>
      <w:r w:rsidRPr="00171414">
        <w:rPr>
          <w:rFonts w:ascii="Georgia" w:hAnsi="Georgia"/>
          <w:sz w:val="22"/>
          <w:szCs w:val="22"/>
          <w:lang w:val="en-GB"/>
        </w:rPr>
        <w:t xml:space="preserve"> eligible.</w:t>
      </w:r>
    </w:p>
    <w:p w:rsidR="00171414" w:rsidRPr="00171414" w:rsidRDefault="00171414" w:rsidP="00171414">
      <w:pPr>
        <w:rPr>
          <w:lang w:val="en-GB"/>
        </w:rPr>
      </w:pPr>
    </w:p>
    <w:p w:rsidR="00171414" w:rsidRDefault="00171414">
      <w:pPr>
        <w:rPr>
          <w:rFonts w:ascii="Georgia" w:hAnsi="Georgia"/>
          <w:b/>
          <w:sz w:val="22"/>
          <w:szCs w:val="22"/>
          <w:lang w:val="en-GB"/>
        </w:rPr>
      </w:pPr>
      <w:r>
        <w:rPr>
          <w:rFonts w:ascii="Georgia" w:hAnsi="Georgia"/>
          <w:b/>
          <w:sz w:val="22"/>
          <w:szCs w:val="22"/>
          <w:lang w:val="en-GB"/>
        </w:rPr>
        <w:br w:type="page"/>
      </w:r>
    </w:p>
    <w:p w:rsidR="00453522" w:rsidRPr="00CE1010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CE1010">
        <w:rPr>
          <w:rFonts w:ascii="Georgia" w:hAnsi="Georgia"/>
          <w:b/>
          <w:sz w:val="22"/>
          <w:szCs w:val="22"/>
          <w:lang w:val="en-GB"/>
        </w:rPr>
        <w:lastRenderedPageBreak/>
        <w:t>Learning Outcomes</w:t>
      </w:r>
    </w:p>
    <w:p w:rsidR="00B004B6" w:rsidRPr="00CE1010" w:rsidRDefault="00B004B6" w:rsidP="00B004B6">
      <w:pPr>
        <w:pStyle w:val="Rubrik2"/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The course provides a fundamental understanding of the theoretical background in thermodynamics of metallic systems, kinetics, surface phenomena as well as features of specific transformations like solidification, diffusional and </w:t>
      </w:r>
      <w:proofErr w:type="spellStart"/>
      <w:r w:rsidRPr="00CE1010">
        <w:rPr>
          <w:rFonts w:ascii="Georgia" w:hAnsi="Georgia"/>
          <w:sz w:val="22"/>
          <w:szCs w:val="22"/>
          <w:lang w:val="en-GB"/>
        </w:rPr>
        <w:t>diffusionless</w:t>
      </w:r>
      <w:proofErr w:type="spellEnd"/>
      <w:r w:rsidRPr="00CE1010">
        <w:rPr>
          <w:rFonts w:ascii="Georgia" w:hAnsi="Georgia"/>
          <w:sz w:val="22"/>
          <w:szCs w:val="22"/>
          <w:lang w:val="en-GB"/>
        </w:rPr>
        <w:t xml:space="preserve"> transformations in solids. </w:t>
      </w:r>
      <w:r w:rsidR="00042AE4" w:rsidRPr="00CE1010">
        <w:rPr>
          <w:rFonts w:ascii="Georgia" w:hAnsi="Georgia"/>
          <w:sz w:val="22"/>
          <w:szCs w:val="22"/>
          <w:lang w:val="en-GB"/>
        </w:rPr>
        <w:t>During</w:t>
      </w:r>
      <w:r w:rsidRPr="00CE1010">
        <w:rPr>
          <w:rFonts w:ascii="Georgia" w:hAnsi="Georgia"/>
          <w:sz w:val="22"/>
          <w:szCs w:val="22"/>
          <w:lang w:val="en-GB"/>
        </w:rPr>
        <w:t xml:space="preserve"> the course students </w:t>
      </w:r>
      <w:r w:rsidR="00042AE4" w:rsidRPr="00CE1010">
        <w:rPr>
          <w:rFonts w:ascii="Georgia" w:hAnsi="Georgia"/>
          <w:sz w:val="22"/>
          <w:szCs w:val="22"/>
          <w:lang w:val="en-GB"/>
        </w:rPr>
        <w:t>should:</w:t>
      </w:r>
    </w:p>
    <w:p w:rsidR="00042AE4" w:rsidRPr="00CE1010" w:rsidRDefault="00042AE4" w:rsidP="00042AE4">
      <w:pPr>
        <w:pStyle w:val="Rubrik2"/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-to gain knowledge about the thermodynamic basis for phase transformations, be able to explain binary and tertiary phase diagrams, be able to predict microstructure and heat treatment based on phase diagrams. </w:t>
      </w:r>
    </w:p>
    <w:p w:rsidR="00042AE4" w:rsidRPr="00CE1010" w:rsidRDefault="00042AE4" w:rsidP="00042AE4">
      <w:pPr>
        <w:pStyle w:val="Rubrik2"/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-to explain the atomic mechanisms of diffusion and being able to use this related to relevant and important diffusion problems. </w:t>
      </w:r>
    </w:p>
    <w:p w:rsidR="00042AE4" w:rsidRPr="00CE1010" w:rsidRDefault="00042AE4" w:rsidP="00042AE4">
      <w:pPr>
        <w:pStyle w:val="Rubrik2"/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-to acquire knowledge and classification of the grain/phase boundaries and how these relate to grain boundary mobility. </w:t>
      </w:r>
    </w:p>
    <w:p w:rsidR="00042AE4" w:rsidRPr="00CE1010" w:rsidRDefault="00042AE4" w:rsidP="00042AE4">
      <w:pPr>
        <w:pStyle w:val="Rubrik2"/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-to know diffusional phase transformations taking place by nucleation and growth, including precipitation reactions, recrystallization, and grain growth. </w:t>
      </w:r>
    </w:p>
    <w:p w:rsidR="00042AE4" w:rsidRPr="00CE1010" w:rsidRDefault="00042AE4" w:rsidP="00042AE4">
      <w:pPr>
        <w:pStyle w:val="Rubrik2"/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-to acquire understanding of </w:t>
      </w:r>
      <w:proofErr w:type="spellStart"/>
      <w:r w:rsidRPr="00CE1010">
        <w:rPr>
          <w:rFonts w:ascii="Georgia" w:hAnsi="Georgia"/>
          <w:sz w:val="22"/>
          <w:szCs w:val="22"/>
          <w:lang w:val="en-GB"/>
        </w:rPr>
        <w:t>diffusionless</w:t>
      </w:r>
      <w:proofErr w:type="spellEnd"/>
      <w:r w:rsidR="00071BC2" w:rsidRPr="00CE1010">
        <w:rPr>
          <w:rFonts w:ascii="Georgia" w:hAnsi="Georgia"/>
          <w:sz w:val="22"/>
          <w:szCs w:val="22"/>
          <w:lang w:val="en-GB"/>
        </w:rPr>
        <w:t>/martensitic</w:t>
      </w:r>
      <w:r w:rsidRPr="00CE1010">
        <w:rPr>
          <w:rFonts w:ascii="Georgia" w:hAnsi="Georgia"/>
          <w:sz w:val="22"/>
          <w:szCs w:val="22"/>
          <w:lang w:val="en-GB"/>
        </w:rPr>
        <w:t xml:space="preserve"> transformation, crystallographic relationship between phases</w:t>
      </w:r>
      <w:r w:rsidR="00071BC2" w:rsidRPr="00CE1010">
        <w:rPr>
          <w:rFonts w:ascii="Georgia" w:hAnsi="Georgia"/>
          <w:sz w:val="22"/>
          <w:szCs w:val="22"/>
          <w:lang w:val="en-GB"/>
        </w:rPr>
        <w:t>, kinetics of phase transformation</w:t>
      </w:r>
      <w:r w:rsidRPr="00CE1010">
        <w:rPr>
          <w:rFonts w:ascii="Georgia" w:hAnsi="Georgia"/>
          <w:sz w:val="22"/>
          <w:szCs w:val="22"/>
          <w:lang w:val="en-GB"/>
        </w:rPr>
        <w:t xml:space="preserve">. </w:t>
      </w:r>
    </w:p>
    <w:p w:rsidR="00042AE4" w:rsidRPr="00CE1010" w:rsidRDefault="00042AE4" w:rsidP="00042AE4">
      <w:pPr>
        <w:rPr>
          <w:lang w:val="en-GB"/>
        </w:rPr>
      </w:pPr>
    </w:p>
    <w:p w:rsidR="00453522" w:rsidRPr="00CE1010" w:rsidRDefault="00042AE4" w:rsidP="00B004B6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>Important outcome is to be able to show a correlation between a phase diagram, a possible heat treatment and the final mechanical properties with respect to the changes in microstructure.</w:t>
      </w:r>
    </w:p>
    <w:p w:rsidR="00453522" w:rsidRPr="00CE1010" w:rsidRDefault="00453522" w:rsidP="00453522">
      <w:pPr>
        <w:rPr>
          <w:rFonts w:ascii="Georgia" w:hAnsi="Georgia"/>
          <w:sz w:val="22"/>
          <w:szCs w:val="22"/>
          <w:lang w:val="en-GB"/>
        </w:rPr>
      </w:pPr>
    </w:p>
    <w:p w:rsidR="00453522" w:rsidRPr="00CE1010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CE1010">
        <w:rPr>
          <w:rFonts w:ascii="Georgia" w:hAnsi="Georgia"/>
          <w:b/>
          <w:sz w:val="22"/>
          <w:szCs w:val="22"/>
          <w:lang w:val="en-GB"/>
        </w:rPr>
        <w:t>Course Content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>Thermodynamics and Equilibrium Phase Diagrams (Free energy, Entropy, Enthalpy, Equilibrium conditions, Equilibrium in Homogeneous and Heterogeneous systems, Binary Phase Diagrams, Ternary Phase Diagrams)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>Diffusion (Fick’s Laws, Solution of Diffusion Equation, Atomic mechanisms of Diffusion, Interstitial and Substitution Mechanisms of Diffusion, Grain-boundaries Diffusion and Diffusion along Dislocations)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>Interface and Microstructure (Free Energy of Interface, Coherent and Incoherent interfaces, Precipitates, Migration of Grain Boundaries, Grain Growth)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Solidification (Homogeneous and Heterogeneous Nucleation, Growth of Pure Solids, Alloy Solidification, Eutectic and </w:t>
      </w:r>
      <w:proofErr w:type="spellStart"/>
      <w:r w:rsidRPr="00CE1010">
        <w:rPr>
          <w:rFonts w:ascii="Georgia" w:hAnsi="Georgia"/>
          <w:sz w:val="22"/>
          <w:szCs w:val="22"/>
          <w:lang w:val="en-GB"/>
        </w:rPr>
        <w:t>Peritectic</w:t>
      </w:r>
      <w:proofErr w:type="spellEnd"/>
      <w:r w:rsidRPr="00CE1010">
        <w:rPr>
          <w:rFonts w:ascii="Georgia" w:hAnsi="Georgia"/>
          <w:sz w:val="22"/>
          <w:szCs w:val="22"/>
          <w:lang w:val="en-GB"/>
        </w:rPr>
        <w:t xml:space="preserve"> Solidification, Ingot Structures)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>Diffusional Transformations in Solids (Homogeneous and Heterogeneous Nucleation in Solids, , Precipitate Growth, Precipitation in Age-Hardening Alloys – System Al-Cu, Eutectoid Transformation in Steels, TTT Diagrams, Tempering of Martensite, Special Cases of Diffusional Transformations, Kinetics of Phase Transformations)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CE1010">
        <w:rPr>
          <w:rFonts w:ascii="Georgia" w:hAnsi="Georgia"/>
          <w:sz w:val="22"/>
          <w:szCs w:val="22"/>
          <w:lang w:val="en-GB"/>
        </w:rPr>
        <w:t>Diffusionless</w:t>
      </w:r>
      <w:proofErr w:type="spellEnd"/>
      <w:r w:rsidRPr="00CE1010">
        <w:rPr>
          <w:rFonts w:ascii="Georgia" w:hAnsi="Georgia"/>
          <w:sz w:val="22"/>
          <w:szCs w:val="22"/>
          <w:lang w:val="en-GB"/>
        </w:rPr>
        <w:t xml:space="preserve"> Transformations in Solids (Nucleation and Growth of Martensite)</w:t>
      </w:r>
    </w:p>
    <w:p w:rsidR="00B004B6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</w:p>
    <w:p w:rsidR="00453522" w:rsidRPr="00CE1010" w:rsidRDefault="00B004B6" w:rsidP="00B004B6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Recovery, Recrystallization and Grain Growth (Mechanisms, Kinetics, </w:t>
      </w:r>
      <w:proofErr w:type="spellStart"/>
      <w:r w:rsidRPr="00CE1010">
        <w:rPr>
          <w:rFonts w:ascii="Georgia" w:hAnsi="Georgia"/>
          <w:sz w:val="22"/>
          <w:szCs w:val="22"/>
          <w:lang w:val="en-GB"/>
        </w:rPr>
        <w:t>Thermodynamical</w:t>
      </w:r>
      <w:proofErr w:type="spellEnd"/>
      <w:r w:rsidRPr="00CE1010">
        <w:rPr>
          <w:rFonts w:ascii="Georgia" w:hAnsi="Georgia"/>
          <w:sz w:val="22"/>
          <w:szCs w:val="22"/>
          <w:lang w:val="en-GB"/>
        </w:rPr>
        <w:t xml:space="preserve"> Approach)</w:t>
      </w:r>
    </w:p>
    <w:p w:rsidR="00453522" w:rsidRPr="0055292B" w:rsidRDefault="00453522" w:rsidP="00453522">
      <w:pPr>
        <w:rPr>
          <w:rFonts w:ascii="Georgia" w:hAnsi="Georgia"/>
          <w:sz w:val="22"/>
          <w:szCs w:val="22"/>
          <w:lang w:val="en-GB"/>
        </w:rPr>
      </w:pPr>
    </w:p>
    <w:p w:rsidR="00453522" w:rsidRPr="0055292B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55292B">
        <w:rPr>
          <w:rFonts w:ascii="Georgia" w:hAnsi="Georgia"/>
          <w:b/>
          <w:sz w:val="22"/>
          <w:szCs w:val="22"/>
          <w:lang w:val="en-GB"/>
        </w:rPr>
        <w:t>Reading List</w:t>
      </w:r>
    </w:p>
    <w:p w:rsidR="00453522" w:rsidRPr="0055292B" w:rsidRDefault="00453522" w:rsidP="00453522">
      <w:pPr>
        <w:rPr>
          <w:rFonts w:ascii="Georgia" w:hAnsi="Georgia"/>
          <w:sz w:val="22"/>
          <w:szCs w:val="22"/>
          <w:lang w:val="en-GB"/>
        </w:rPr>
      </w:pPr>
      <w:r w:rsidRPr="0055292B">
        <w:rPr>
          <w:rFonts w:ascii="Georgia" w:hAnsi="Georgia"/>
          <w:sz w:val="22"/>
          <w:szCs w:val="22"/>
          <w:lang w:val="en-GB"/>
        </w:rPr>
        <w:t>See separate document.</w:t>
      </w:r>
    </w:p>
    <w:p w:rsidR="00453522" w:rsidRPr="0055292B" w:rsidRDefault="00453522" w:rsidP="00453522">
      <w:pPr>
        <w:rPr>
          <w:rFonts w:ascii="Georgia" w:hAnsi="Georgia"/>
          <w:sz w:val="22"/>
          <w:szCs w:val="22"/>
          <w:lang w:val="en-GB"/>
        </w:rPr>
      </w:pPr>
    </w:p>
    <w:p w:rsidR="00453522" w:rsidRPr="00CE1010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55292B">
        <w:rPr>
          <w:rFonts w:ascii="Georgia" w:hAnsi="Georgia"/>
          <w:b/>
          <w:sz w:val="22"/>
          <w:szCs w:val="22"/>
          <w:lang w:val="en-GB"/>
        </w:rPr>
        <w:t>Examination</w:t>
      </w:r>
    </w:p>
    <w:p w:rsidR="00453522" w:rsidRPr="00CE1010" w:rsidRDefault="00071BC2" w:rsidP="00453522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Home assignments and presentations (topics are </w:t>
      </w:r>
      <w:r w:rsidR="008F3923" w:rsidRPr="00CE1010">
        <w:rPr>
          <w:rFonts w:ascii="Georgia" w:hAnsi="Georgia"/>
          <w:sz w:val="22"/>
          <w:szCs w:val="22"/>
          <w:lang w:val="en-GB"/>
        </w:rPr>
        <w:t xml:space="preserve">provided by teacher and can be </w:t>
      </w:r>
      <w:r w:rsidRPr="00CE1010">
        <w:rPr>
          <w:rFonts w:ascii="Georgia" w:hAnsi="Georgia"/>
          <w:sz w:val="22"/>
          <w:szCs w:val="22"/>
          <w:lang w:val="en-GB"/>
        </w:rPr>
        <w:t xml:space="preserve">formulated in relation to the </w:t>
      </w:r>
      <w:r w:rsidR="008F3923" w:rsidRPr="00CE1010">
        <w:rPr>
          <w:rFonts w:ascii="Georgia" w:hAnsi="Georgia"/>
          <w:sz w:val="22"/>
          <w:szCs w:val="22"/>
          <w:lang w:val="en-GB"/>
        </w:rPr>
        <w:t xml:space="preserve">PhD </w:t>
      </w:r>
      <w:r w:rsidRPr="00CE1010">
        <w:rPr>
          <w:rFonts w:ascii="Georgia" w:hAnsi="Georgia"/>
          <w:sz w:val="22"/>
          <w:szCs w:val="22"/>
          <w:lang w:val="en-GB"/>
        </w:rPr>
        <w:t xml:space="preserve">project to gain specific knowledge relevant </w:t>
      </w:r>
      <w:r w:rsidR="008F3923" w:rsidRPr="00CE1010">
        <w:rPr>
          <w:rFonts w:ascii="Georgia" w:hAnsi="Georgia"/>
          <w:sz w:val="22"/>
          <w:szCs w:val="22"/>
          <w:lang w:val="en-GB"/>
        </w:rPr>
        <w:t>to</w:t>
      </w:r>
      <w:r w:rsidRPr="00CE1010">
        <w:rPr>
          <w:rFonts w:ascii="Georgia" w:hAnsi="Georgia"/>
          <w:sz w:val="22"/>
          <w:szCs w:val="22"/>
          <w:lang w:val="en-GB"/>
        </w:rPr>
        <w:t xml:space="preserve"> the </w:t>
      </w:r>
      <w:r w:rsidR="008F3923" w:rsidRPr="00CE1010">
        <w:rPr>
          <w:rFonts w:ascii="Georgia" w:hAnsi="Georgia"/>
          <w:sz w:val="22"/>
          <w:szCs w:val="22"/>
          <w:lang w:val="en-GB"/>
        </w:rPr>
        <w:t>whole</w:t>
      </w:r>
      <w:r w:rsidRPr="00CE1010">
        <w:rPr>
          <w:rFonts w:ascii="Georgia" w:hAnsi="Georgia"/>
          <w:sz w:val="22"/>
          <w:szCs w:val="22"/>
          <w:lang w:val="en-GB"/>
        </w:rPr>
        <w:t xml:space="preserve"> research</w:t>
      </w:r>
      <w:r w:rsidR="008F3923" w:rsidRPr="00CE1010">
        <w:rPr>
          <w:rFonts w:ascii="Georgia" w:hAnsi="Georgia"/>
          <w:sz w:val="22"/>
          <w:szCs w:val="22"/>
          <w:lang w:val="en-GB"/>
        </w:rPr>
        <w:t xml:space="preserve"> study</w:t>
      </w:r>
      <w:r w:rsidRPr="00CE1010">
        <w:rPr>
          <w:rFonts w:ascii="Georgia" w:hAnsi="Georgia"/>
          <w:sz w:val="22"/>
          <w:szCs w:val="22"/>
          <w:lang w:val="en-GB"/>
        </w:rPr>
        <w:t xml:space="preserve">) </w:t>
      </w:r>
      <w:r w:rsidR="008F3923" w:rsidRPr="00CE1010">
        <w:rPr>
          <w:rFonts w:ascii="Georgia" w:hAnsi="Georgia"/>
          <w:sz w:val="22"/>
          <w:szCs w:val="22"/>
          <w:lang w:val="en-GB"/>
        </w:rPr>
        <w:t>relevant to</w:t>
      </w:r>
      <w:r w:rsidRPr="00CE1010">
        <w:rPr>
          <w:rFonts w:ascii="Georgia" w:hAnsi="Georgia"/>
          <w:sz w:val="22"/>
          <w:szCs w:val="22"/>
          <w:lang w:val="en-GB"/>
        </w:rPr>
        <w:t xml:space="preserve"> each chapter</w:t>
      </w:r>
      <w:r w:rsidR="00CE1010" w:rsidRPr="00CE1010">
        <w:rPr>
          <w:rFonts w:ascii="Georgia" w:hAnsi="Georgia"/>
          <w:sz w:val="22"/>
          <w:szCs w:val="22"/>
          <w:lang w:val="en-GB"/>
        </w:rPr>
        <w:t>.</w:t>
      </w:r>
    </w:p>
    <w:p w:rsidR="00453522" w:rsidRPr="0055292B" w:rsidRDefault="00453522" w:rsidP="00453522">
      <w:pPr>
        <w:rPr>
          <w:rFonts w:ascii="Georgia" w:hAnsi="Georgia"/>
          <w:sz w:val="22"/>
          <w:szCs w:val="22"/>
          <w:lang w:val="en-GB"/>
        </w:rPr>
      </w:pPr>
    </w:p>
    <w:p w:rsidR="00453522" w:rsidRPr="00CE1010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CE1010">
        <w:rPr>
          <w:rFonts w:ascii="Georgia" w:hAnsi="Georgia"/>
          <w:b/>
          <w:sz w:val="22"/>
          <w:szCs w:val="22"/>
          <w:lang w:val="en-GB"/>
        </w:rPr>
        <w:t>Grades</w:t>
      </w:r>
    </w:p>
    <w:p w:rsidR="00453522" w:rsidRPr="00CE1010" w:rsidRDefault="00453522" w:rsidP="00453522">
      <w:pPr>
        <w:rPr>
          <w:rFonts w:ascii="Georgia" w:hAnsi="Georgia"/>
          <w:sz w:val="22"/>
          <w:szCs w:val="22"/>
          <w:lang w:val="en-GB"/>
        </w:rPr>
      </w:pPr>
      <w:r w:rsidRPr="00CE1010">
        <w:rPr>
          <w:rFonts w:ascii="Georgia" w:hAnsi="Georgia"/>
          <w:sz w:val="22"/>
          <w:szCs w:val="22"/>
          <w:lang w:val="en-GB"/>
        </w:rPr>
        <w:t xml:space="preserve">Text ex: One of the grades Fail (U) or Pass (G) </w:t>
      </w:r>
      <w:proofErr w:type="gramStart"/>
      <w:r w:rsidRPr="00CE1010">
        <w:rPr>
          <w:rFonts w:ascii="Georgia" w:hAnsi="Georgia"/>
          <w:sz w:val="22"/>
          <w:szCs w:val="22"/>
          <w:lang w:val="en-GB"/>
        </w:rPr>
        <w:t>is awarded</w:t>
      </w:r>
      <w:proofErr w:type="gramEnd"/>
      <w:r w:rsidRPr="00CE1010">
        <w:rPr>
          <w:rFonts w:ascii="Georgia" w:hAnsi="Georgia"/>
          <w:sz w:val="22"/>
          <w:szCs w:val="22"/>
          <w:lang w:val="en-GB"/>
        </w:rPr>
        <w:t xml:space="preserve"> in the examination of the course.</w:t>
      </w:r>
    </w:p>
    <w:p w:rsidR="00453522" w:rsidRPr="0055292B" w:rsidRDefault="00453522" w:rsidP="00453522">
      <w:pPr>
        <w:rPr>
          <w:rFonts w:ascii="Georgia" w:hAnsi="Georgia"/>
          <w:sz w:val="22"/>
          <w:szCs w:val="22"/>
          <w:lang w:val="en-GB"/>
        </w:rPr>
      </w:pPr>
    </w:p>
    <w:p w:rsidR="00453522" w:rsidRPr="0055292B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55292B">
        <w:rPr>
          <w:rFonts w:ascii="Georgia" w:hAnsi="Georgia"/>
          <w:b/>
          <w:sz w:val="22"/>
          <w:szCs w:val="22"/>
          <w:lang w:val="en-GB"/>
        </w:rPr>
        <w:t>Quality Assurance</w:t>
      </w:r>
    </w:p>
    <w:p w:rsidR="00453522" w:rsidRPr="0055292B" w:rsidRDefault="00453522" w:rsidP="00453522">
      <w:pPr>
        <w:pStyle w:val="Rubrik2"/>
        <w:rPr>
          <w:rFonts w:ascii="Georgia" w:hAnsi="Georgia"/>
          <w:sz w:val="22"/>
          <w:szCs w:val="22"/>
          <w:lang w:val="en-GB"/>
        </w:rPr>
      </w:pPr>
      <w:r w:rsidRPr="0055292B">
        <w:rPr>
          <w:rFonts w:ascii="Georgia" w:hAnsi="Georgia"/>
          <w:sz w:val="22"/>
          <w:szCs w:val="22"/>
          <w:lang w:val="en-GB"/>
        </w:rPr>
        <w:t xml:space="preserve">The course convenor has a duty to encourage a continuous dialogue on learning processes and goal fulfilment. A written evaluation is carried out at the conclusion of the course combined with a joint student-teacher discussion of all aspects commented on. The result of the evaluation is collated and made available in accordance with </w:t>
      </w:r>
      <w:r w:rsidRPr="0055292B">
        <w:rPr>
          <w:rFonts w:ascii="Georgia" w:hAnsi="Georgia"/>
          <w:i/>
          <w:sz w:val="22"/>
          <w:szCs w:val="22"/>
          <w:lang w:val="en-GB"/>
        </w:rPr>
        <w:t>The Higher Education</w:t>
      </w:r>
      <w:r>
        <w:rPr>
          <w:rFonts w:ascii="Georgia" w:hAnsi="Georgia"/>
          <w:sz w:val="22"/>
          <w:szCs w:val="22"/>
          <w:lang w:val="en-GB"/>
        </w:rPr>
        <w:t xml:space="preserve"> Ordinance, Chapter 1, §</w:t>
      </w:r>
      <w:r w:rsidRPr="0055292B">
        <w:rPr>
          <w:rFonts w:ascii="Georgia" w:hAnsi="Georgia"/>
          <w:sz w:val="22"/>
          <w:szCs w:val="22"/>
          <w:lang w:val="en-GB"/>
        </w:rPr>
        <w:t xml:space="preserve"> 14.</w:t>
      </w:r>
    </w:p>
    <w:p w:rsidR="00453522" w:rsidRPr="0055292B" w:rsidRDefault="00453522" w:rsidP="00453522">
      <w:pPr>
        <w:pStyle w:val="Rubrik2"/>
        <w:rPr>
          <w:rFonts w:ascii="Georgia" w:hAnsi="Georgia"/>
          <w:sz w:val="22"/>
          <w:szCs w:val="22"/>
          <w:lang w:val="en-GB"/>
        </w:rPr>
      </w:pPr>
    </w:p>
    <w:p w:rsidR="00453522" w:rsidRPr="0055292B" w:rsidRDefault="00453522" w:rsidP="00453522">
      <w:pPr>
        <w:pStyle w:val="Rubrik2"/>
        <w:rPr>
          <w:rFonts w:ascii="Georgia" w:hAnsi="Georgia"/>
          <w:b/>
          <w:sz w:val="22"/>
          <w:szCs w:val="22"/>
          <w:lang w:val="en-GB"/>
        </w:rPr>
      </w:pPr>
      <w:r w:rsidRPr="0055292B">
        <w:rPr>
          <w:rFonts w:ascii="Georgia" w:hAnsi="Georgia"/>
          <w:b/>
          <w:sz w:val="22"/>
          <w:szCs w:val="22"/>
          <w:lang w:val="en-GB"/>
        </w:rPr>
        <w:t>Course Certificate</w:t>
      </w:r>
    </w:p>
    <w:p w:rsidR="00453522" w:rsidRPr="0055292B" w:rsidRDefault="00453522" w:rsidP="00453522">
      <w:pPr>
        <w:pStyle w:val="Rubrik2"/>
        <w:rPr>
          <w:rFonts w:ascii="Georgia" w:hAnsi="Georgia"/>
          <w:sz w:val="22"/>
          <w:szCs w:val="22"/>
          <w:lang w:val="en-GB"/>
        </w:rPr>
      </w:pPr>
      <w:r w:rsidRPr="0055292B">
        <w:rPr>
          <w:rFonts w:ascii="Georgia" w:hAnsi="Georgia"/>
          <w:sz w:val="22"/>
          <w:szCs w:val="22"/>
          <w:lang w:val="en-GB"/>
        </w:rPr>
        <w:t>Course certificate is issued on request.</w:t>
      </w:r>
    </w:p>
    <w:p w:rsidR="00F12DED" w:rsidRDefault="00F12DED" w:rsidP="00F12DED">
      <w:pPr>
        <w:rPr>
          <w:lang w:val="en-GB"/>
        </w:rPr>
      </w:pPr>
    </w:p>
    <w:p w:rsidR="00453522" w:rsidRDefault="00453522" w:rsidP="00F12DED">
      <w:pPr>
        <w:rPr>
          <w:lang w:val="en-GB"/>
        </w:rPr>
      </w:pPr>
    </w:p>
    <w:p w:rsidR="000113D3" w:rsidRDefault="000113D3" w:rsidP="00F12DED">
      <w:pPr>
        <w:rPr>
          <w:lang w:val="en-GB"/>
        </w:rPr>
      </w:pPr>
    </w:p>
    <w:p w:rsidR="00D87A3D" w:rsidRDefault="00D87A3D">
      <w:pPr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b/>
          <w:sz w:val="22"/>
          <w:szCs w:val="22"/>
          <w:lang w:val="en-US"/>
        </w:rPr>
        <w:br w:type="page"/>
      </w:r>
    </w:p>
    <w:p w:rsidR="00453522" w:rsidRPr="00D47D4D" w:rsidRDefault="00453522" w:rsidP="00453522">
      <w:pPr>
        <w:pStyle w:val="Rubrik2"/>
        <w:rPr>
          <w:rFonts w:ascii="Georgia" w:hAnsi="Georgia"/>
          <w:b/>
          <w:sz w:val="22"/>
          <w:szCs w:val="22"/>
          <w:lang w:val="en-US"/>
        </w:rPr>
      </w:pPr>
      <w:r w:rsidRPr="00D47D4D">
        <w:rPr>
          <w:rFonts w:ascii="Georgia" w:hAnsi="Georgia"/>
          <w:b/>
          <w:sz w:val="22"/>
          <w:szCs w:val="22"/>
          <w:lang w:val="en-US"/>
        </w:rPr>
        <w:lastRenderedPageBreak/>
        <w:t>Goal matrix</w:t>
      </w:r>
    </w:p>
    <w:p w:rsidR="00453522" w:rsidRPr="00D47D4D" w:rsidRDefault="00453522" w:rsidP="00F12DED">
      <w:pPr>
        <w:rPr>
          <w:lang w:val="en-US"/>
        </w:rPr>
      </w:pPr>
    </w:p>
    <w:p w:rsidR="00453522" w:rsidRPr="00453522" w:rsidRDefault="00453522" w:rsidP="00453522">
      <w:pPr>
        <w:spacing w:after="240"/>
        <w:rPr>
          <w:lang w:val="en-US"/>
        </w:rPr>
      </w:pPr>
      <w:r w:rsidRPr="00453522">
        <w:rPr>
          <w:lang w:val="en-US"/>
        </w:rPr>
        <w:t>Goals that</w:t>
      </w:r>
      <w:r w:rsidR="00D47D4D">
        <w:rPr>
          <w:lang w:val="en-US"/>
        </w:rPr>
        <w:t>, after</w:t>
      </w:r>
      <w:r w:rsidRPr="00453522">
        <w:rPr>
          <w:lang w:val="en-US"/>
        </w:rPr>
        <w:t xml:space="preserve"> complet</w:t>
      </w:r>
      <w:r w:rsidR="00D47D4D">
        <w:rPr>
          <w:lang w:val="en-US"/>
        </w:rPr>
        <w:t>ing the</w:t>
      </w:r>
      <w:r w:rsidRPr="00453522">
        <w:rPr>
          <w:lang w:val="en-US"/>
        </w:rPr>
        <w:t xml:space="preserve"> course</w:t>
      </w:r>
      <w:r w:rsidR="00D47D4D">
        <w:rPr>
          <w:lang w:val="en-US"/>
        </w:rPr>
        <w:t>,</w:t>
      </w:r>
      <w:r w:rsidRPr="00453522">
        <w:rPr>
          <w:lang w:val="en-US"/>
        </w:rPr>
        <w:t xml:space="preserve"> are</w:t>
      </w:r>
      <w:r w:rsidR="00D47D4D">
        <w:rPr>
          <w:lang w:val="en-US"/>
        </w:rPr>
        <w:t xml:space="preserve"> fulfilled for the doctoral or licentiate degree are</w:t>
      </w:r>
      <w:r w:rsidRPr="00453522">
        <w:rPr>
          <w:lang w:val="en-US"/>
        </w:rPr>
        <w:t xml:space="preserve"> marked with an X.</w:t>
      </w:r>
    </w:p>
    <w:p w:rsidR="00D47D4D" w:rsidRPr="00D47D4D" w:rsidRDefault="00D47D4D" w:rsidP="00453522">
      <w:pPr>
        <w:spacing w:after="240"/>
        <w:rPr>
          <w:lang w:val="en-US"/>
        </w:rPr>
      </w:pPr>
    </w:p>
    <w:tbl>
      <w:tblPr>
        <w:tblW w:w="88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173"/>
        <w:gridCol w:w="391"/>
        <w:gridCol w:w="391"/>
        <w:gridCol w:w="214"/>
        <w:gridCol w:w="508"/>
        <w:gridCol w:w="3256"/>
        <w:gridCol w:w="391"/>
      </w:tblGrid>
      <w:tr w:rsidR="00453522" w:rsidTr="00453522">
        <w:trPr>
          <w:trHeight w:val="31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522" w:rsidRPr="00D87A3D" w:rsidRDefault="00453522" w:rsidP="00C265A4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87A3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522" w:rsidRDefault="000113D3" w:rsidP="000113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Doctoral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453522" w:rsidRDefault="00453522" w:rsidP="00C265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522" w:rsidRDefault="00453522" w:rsidP="00C265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Licentiat</w:t>
            </w:r>
            <w:r w:rsidR="000113D3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Tr="000113D3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113D3" w:rsidRPr="00071BC2" w:rsidTr="000113D3">
        <w:trPr>
          <w:trHeight w:val="94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broad knowledge and systematic understanding of the research field 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71BC2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  <w:r w:rsidR="000113D3"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knowledge and understanding in the field of research including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RPr="00071BC2" w:rsidTr="000113D3">
        <w:trPr>
          <w:trHeight w:val="697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advanced and up-to-date </w:t>
            </w:r>
            <w:proofErr w:type="spell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</w:t>
            </w:r>
            <w:proofErr w:type="spell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knowledge in a limited area of this field, 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current specialist knowledge in a limited area of this field as well as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RPr="00071BC2" w:rsidTr="000113D3">
        <w:trPr>
          <w:trHeight w:val="113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familiarity</w:t>
            </w:r>
            <w:proofErr w:type="gram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with research methodology in general and the methods of the specific field of research in particular.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</w:t>
            </w:r>
            <w:proofErr w:type="spell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knowledge of research methodology in general and the methods of the specific field of research in particular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Tr="000113D3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RPr="00071BC2" w:rsidTr="000113D3">
        <w:trPr>
          <w:trHeight w:val="1239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capacity for scholarly analysis and synthesis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identify and formulate issues with scholarly precision critically, autonomously and creatively and to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RPr="00071BC2" w:rsidTr="000113D3">
        <w:trPr>
          <w:trHeight w:val="169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to review and assess new and complex phenomena, issues and situations autonomously and critically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 and use appropriate methods to undertake a limited piece of research and other qualified tasks within predetermined time frames in order to contribute to the formation of knowledge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RPr="004E5396" w:rsidTr="000113D3">
        <w:trPr>
          <w:trHeight w:val="1317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to identify and formulate issues with scholarly precision critically, autonomously and creatively, and to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1664C0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as well as to evaluate this work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4E5396" w:rsidTr="000113D3">
        <w:trPr>
          <w:trHeight w:val="15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 and use appropriate methods to undertake research and other qualified tasks within predetermined time frames and to review and evaluate such work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in both national and international contexts to present and discuss research and research findings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Tr="000113D3">
        <w:trPr>
          <w:trHeight w:val="92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through a dissertation the ability to make a significant contribution to the formation of knowledge through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1664C0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  <w:r w:rsidR="000113D3"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general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RPr="00071BC2" w:rsidTr="000113D3">
        <w:trPr>
          <w:trHeight w:val="1686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in both national and international contexts to present and discuss research and research findings authoritatively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</w:t>
            </w:r>
            <w:proofErr w:type="gram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skills required to participate autonomously in research and development work and to work autonomously in some other qualified capacity.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071BC2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Tr="000113D3">
        <w:trPr>
          <w:trHeight w:val="503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general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13D3" w:rsidRPr="004E5396" w:rsidTr="000113D3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to identify the need for further knowledge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0113D3" w:rsidRPr="004E5396" w:rsidTr="000113D3">
        <w:trPr>
          <w:trHeight w:val="1548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capacity to contribute to social development and support the learning of others both through research and education and in some other qualified professional capacity.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0113D3" w:rsidTr="000113D3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approach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approach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RPr="004E5396" w:rsidTr="000113D3">
        <w:trPr>
          <w:trHeight w:val="616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intellectual autonomy and disciplinary rectitude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1664C0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make assessments of ethical aspects of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4E5396" w:rsidTr="000113D3">
        <w:trPr>
          <w:trHeight w:val="10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ability to make assessments of research ethics, and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insight into the possibilities and limitations of research, its role in society and the responsibility of the individual for how it is used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071BC2" w:rsidTr="000113D3">
        <w:trPr>
          <w:trHeight w:val="105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</w:t>
            </w:r>
            <w:proofErr w:type="spell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</w:t>
            </w:r>
            <w:proofErr w:type="spell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insight into the possibilities and limitations of research, its role in society and the responsibility of the individual for how it is used.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</w:t>
            </w:r>
            <w:proofErr w:type="gram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ability to identify the personal need for further knowledge and take responsibility for his or her ongoing learning.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1664C0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</w:tbl>
    <w:p w:rsidR="00453522" w:rsidRPr="000113D3" w:rsidRDefault="00453522" w:rsidP="00453522">
      <w:pPr>
        <w:rPr>
          <w:lang w:val="en-US"/>
        </w:rPr>
      </w:pPr>
      <w:bookmarkStart w:id="0" w:name="_GoBack"/>
    </w:p>
    <w:bookmarkEnd w:id="0"/>
    <w:p w:rsidR="00453522" w:rsidRPr="000113D3" w:rsidRDefault="00453522" w:rsidP="00F12DED">
      <w:pPr>
        <w:rPr>
          <w:lang w:val="en-US"/>
        </w:rPr>
      </w:pPr>
    </w:p>
    <w:sectPr w:rsidR="00453522" w:rsidRPr="000113D3" w:rsidSect="000506B8">
      <w:headerReference w:type="default" r:id="rId9"/>
      <w:headerReference w:type="first" r:id="rId10"/>
      <w:type w:val="continuous"/>
      <w:pgSz w:w="11839" w:h="16778"/>
      <w:pgMar w:top="1134" w:right="1701" w:bottom="1985" w:left="1701" w:header="567" w:footer="68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3B" w:rsidRDefault="00FF023B">
      <w:r>
        <w:separator/>
      </w:r>
    </w:p>
  </w:endnote>
  <w:endnote w:type="continuationSeparator" w:id="0">
    <w:p w:rsidR="00FF023B" w:rsidRDefault="00F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 BE Regular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3B" w:rsidRDefault="00FF023B">
      <w:r>
        <w:separator/>
      </w:r>
    </w:p>
  </w:footnote>
  <w:footnote w:type="continuationSeparator" w:id="0">
    <w:p w:rsidR="00FF023B" w:rsidRDefault="00FF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336427"/>
      <w:docPartObj>
        <w:docPartGallery w:val="Page Numbers (Top of Page)"/>
        <w:docPartUnique/>
      </w:docPartObj>
    </w:sdtPr>
    <w:sdtEndPr/>
    <w:sdtContent>
      <w:p w:rsidR="004D39A0" w:rsidRDefault="004D39A0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96">
          <w:rPr>
            <w:noProof/>
          </w:rPr>
          <w:t>5</w:t>
        </w:r>
        <w:r>
          <w:fldChar w:fldCharType="end"/>
        </w:r>
        <w:r w:rsidR="001C7FC5">
          <w:t xml:space="preserve"> (4)</w:t>
        </w:r>
      </w:p>
    </w:sdtContent>
  </w:sdt>
  <w:p w:rsidR="00254FDC" w:rsidRPr="0034431C" w:rsidRDefault="00254FDC" w:rsidP="003443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5" w:rsidRPr="00171414" w:rsidRDefault="001C7FC5" w:rsidP="001C7FC5">
    <w:pPr>
      <w:pStyle w:val="Sidhuvud"/>
    </w:pPr>
    <w:r w:rsidRPr="00171414">
      <w:rPr>
        <w:sz w:val="20"/>
      </w:rPr>
      <w:t xml:space="preserve">Dnr: </w:t>
    </w:r>
    <w:r w:rsidRPr="00171414">
      <w:rPr>
        <w:rFonts w:ascii="Georgia" w:hAnsi="Georgia"/>
        <w:sz w:val="20"/>
        <w:szCs w:val="20"/>
      </w:rPr>
      <w:t xml:space="preserve">HNT </w:t>
    </w:r>
    <w:r w:rsidR="00171414" w:rsidRPr="00171414">
      <w:rPr>
        <w:rFonts w:ascii="Georgia" w:hAnsi="Georgia"/>
        <w:sz w:val="20"/>
        <w:szCs w:val="20"/>
      </w:rPr>
      <w:t>2021/12</w:t>
    </w:r>
  </w:p>
  <w:p w:rsidR="001C7FC5" w:rsidRDefault="001C7F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7A1E77AA"/>
    <w:lvl w:ilvl="0">
      <w:start w:val="1"/>
      <w:numFmt w:val="decimal"/>
      <w:pStyle w:val="Rubrik1"/>
      <w:suff w:val="space"/>
      <w:lvlText w:val="§ %1 "/>
      <w:lvlJc w:val="left"/>
      <w:pPr>
        <w:ind w:left="0" w:firstLine="0"/>
      </w:pPr>
      <w:rPr>
        <w:rFonts w:ascii="Garamond BE Regular" w:hAnsi="Garamond BE Regular" w:hint="default"/>
        <w:b/>
        <w:i w:val="0"/>
        <w:sz w:val="24"/>
        <w:u w:val="none"/>
      </w:rPr>
    </w:lvl>
    <w:lvl w:ilvl="1">
      <w:start w:val="1"/>
      <w:numFmt w:val="lowerLetter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07921"/>
    <w:multiLevelType w:val="multilevel"/>
    <w:tmpl w:val="952C4FC2"/>
    <w:lvl w:ilvl="0">
      <w:start w:val="1"/>
      <w:numFmt w:val="decimal"/>
      <w:pStyle w:val="KauParagraf"/>
      <w:isLgl/>
      <w:suff w:val="space"/>
      <w:lvlText w:val="§ %1 "/>
      <w:lvlJc w:val="left"/>
      <w:pPr>
        <w:ind w:left="709" w:hanging="709"/>
      </w:pPr>
      <w:rPr>
        <w:rFonts w:ascii="Georgia" w:hAnsi="Georgia" w:hint="default"/>
        <w:b w:val="0"/>
        <w:i w:val="0"/>
        <w:sz w:val="20"/>
        <w:u w:val="none"/>
      </w:rPr>
    </w:lvl>
    <w:lvl w:ilvl="1">
      <w:start w:val="1"/>
      <w:numFmt w:val="lowerLetter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B"/>
    <w:rsid w:val="000113D3"/>
    <w:rsid w:val="00023620"/>
    <w:rsid w:val="0002519B"/>
    <w:rsid w:val="00042AE4"/>
    <w:rsid w:val="000506B8"/>
    <w:rsid w:val="00063620"/>
    <w:rsid w:val="00071BC2"/>
    <w:rsid w:val="00093F50"/>
    <w:rsid w:val="000B1460"/>
    <w:rsid w:val="000C49FD"/>
    <w:rsid w:val="000E18EA"/>
    <w:rsid w:val="0014136C"/>
    <w:rsid w:val="001664C0"/>
    <w:rsid w:val="00171414"/>
    <w:rsid w:val="00173E19"/>
    <w:rsid w:val="00177C7C"/>
    <w:rsid w:val="001917AF"/>
    <w:rsid w:val="00196C0E"/>
    <w:rsid w:val="001A16EB"/>
    <w:rsid w:val="001C6132"/>
    <w:rsid w:val="001C7FC5"/>
    <w:rsid w:val="00214CBB"/>
    <w:rsid w:val="002164B6"/>
    <w:rsid w:val="00251409"/>
    <w:rsid w:val="00254FDC"/>
    <w:rsid w:val="002A2CC7"/>
    <w:rsid w:val="002C13F8"/>
    <w:rsid w:val="002C2502"/>
    <w:rsid w:val="002E50A0"/>
    <w:rsid w:val="00343715"/>
    <w:rsid w:val="0034431C"/>
    <w:rsid w:val="0034781E"/>
    <w:rsid w:val="0037768B"/>
    <w:rsid w:val="00380EF8"/>
    <w:rsid w:val="003E51D2"/>
    <w:rsid w:val="003E6E1D"/>
    <w:rsid w:val="00424853"/>
    <w:rsid w:val="00453522"/>
    <w:rsid w:val="004C1DA4"/>
    <w:rsid w:val="004D39A0"/>
    <w:rsid w:val="004E5396"/>
    <w:rsid w:val="00512CC6"/>
    <w:rsid w:val="00541691"/>
    <w:rsid w:val="00571221"/>
    <w:rsid w:val="005B5AF6"/>
    <w:rsid w:val="005D6F10"/>
    <w:rsid w:val="005E4E5B"/>
    <w:rsid w:val="006117E9"/>
    <w:rsid w:val="00620DD5"/>
    <w:rsid w:val="00642C8E"/>
    <w:rsid w:val="0068185F"/>
    <w:rsid w:val="006B708B"/>
    <w:rsid w:val="007331AF"/>
    <w:rsid w:val="00763A65"/>
    <w:rsid w:val="007E69CB"/>
    <w:rsid w:val="00830452"/>
    <w:rsid w:val="0083350C"/>
    <w:rsid w:val="00864E28"/>
    <w:rsid w:val="008659C9"/>
    <w:rsid w:val="00884245"/>
    <w:rsid w:val="008B5B89"/>
    <w:rsid w:val="008C0B89"/>
    <w:rsid w:val="008C4AF2"/>
    <w:rsid w:val="008E3433"/>
    <w:rsid w:val="008E3CDF"/>
    <w:rsid w:val="008F3923"/>
    <w:rsid w:val="009474DA"/>
    <w:rsid w:val="009568E5"/>
    <w:rsid w:val="00961A82"/>
    <w:rsid w:val="00967D07"/>
    <w:rsid w:val="009E50B3"/>
    <w:rsid w:val="00A01A59"/>
    <w:rsid w:val="00A2274E"/>
    <w:rsid w:val="00A35FFD"/>
    <w:rsid w:val="00A4729F"/>
    <w:rsid w:val="00AA24B0"/>
    <w:rsid w:val="00AC0243"/>
    <w:rsid w:val="00AC5C9E"/>
    <w:rsid w:val="00AC6A88"/>
    <w:rsid w:val="00AC6DBF"/>
    <w:rsid w:val="00AE25EB"/>
    <w:rsid w:val="00B004B6"/>
    <w:rsid w:val="00B30AE1"/>
    <w:rsid w:val="00B312B7"/>
    <w:rsid w:val="00B81D1F"/>
    <w:rsid w:val="00B944BF"/>
    <w:rsid w:val="00C12258"/>
    <w:rsid w:val="00C2658B"/>
    <w:rsid w:val="00C3680C"/>
    <w:rsid w:val="00C36C55"/>
    <w:rsid w:val="00CA434E"/>
    <w:rsid w:val="00CE0FA6"/>
    <w:rsid w:val="00CE1010"/>
    <w:rsid w:val="00D13636"/>
    <w:rsid w:val="00D40B2B"/>
    <w:rsid w:val="00D454FC"/>
    <w:rsid w:val="00D47D4D"/>
    <w:rsid w:val="00D709BC"/>
    <w:rsid w:val="00D85A86"/>
    <w:rsid w:val="00D87A3D"/>
    <w:rsid w:val="00DB7EC0"/>
    <w:rsid w:val="00DC11FE"/>
    <w:rsid w:val="00E46F58"/>
    <w:rsid w:val="00EA18D2"/>
    <w:rsid w:val="00EB1424"/>
    <w:rsid w:val="00EC51A5"/>
    <w:rsid w:val="00ED4C91"/>
    <w:rsid w:val="00EE56F8"/>
    <w:rsid w:val="00F12DED"/>
    <w:rsid w:val="00F73387"/>
    <w:rsid w:val="00F80A5C"/>
    <w:rsid w:val="00FB4213"/>
    <w:rsid w:val="00FE377A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CDA62C5"/>
  <w15:docId w15:val="{05FCB305-CC7A-4F0C-8795-A3189D3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89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Rubrik2">
    <w:name w:val="heading 2"/>
    <w:basedOn w:val="Normal"/>
    <w:next w:val="Normal"/>
    <w:link w:val="Rubrik2Char"/>
    <w:qFormat/>
    <w:rsid w:val="0083350C"/>
    <w:pPr>
      <w:keepNext/>
      <w:spacing w:line="260" w:lineRule="atLeast"/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  <w:spacing w:line="220" w:lineRule="atLeast"/>
      <w:jc w:val="right"/>
    </w:pPr>
    <w:rPr>
      <w:sz w:val="18"/>
    </w:rPr>
  </w:style>
  <w:style w:type="character" w:styleId="Sidnummer">
    <w:name w:val="page number"/>
    <w:basedOn w:val="Standardstycketeckensnitt"/>
    <w:rsid w:val="008C0B89"/>
    <w:rPr>
      <w:rFonts w:ascii="Times New Roman" w:hAnsi="Times New Roman"/>
      <w:dstrike w:val="0"/>
      <w:spacing w:val="0"/>
      <w:sz w:val="18"/>
      <w:szCs w:val="18"/>
      <w:vertAlign w:val="baseline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line="260" w:lineRule="atLeast"/>
    </w:pPr>
    <w:rPr>
      <w:sz w:val="18"/>
    </w:rPr>
  </w:style>
  <w:style w:type="paragraph" w:styleId="Brdtextmedindrag">
    <w:name w:val="Body Text Indent"/>
    <w:basedOn w:val="Normal"/>
    <w:autoRedefine/>
    <w:rsid w:val="008C0B89"/>
    <w:pPr>
      <w:spacing w:line="260" w:lineRule="atLeast"/>
      <w:ind w:left="437"/>
    </w:pPr>
  </w:style>
  <w:style w:type="paragraph" w:customStyle="1" w:styleId="KauParagraf">
    <w:name w:val="Kau Paragraf"/>
    <w:basedOn w:val="Brdtextmedindrag"/>
    <w:next w:val="Normal"/>
    <w:pPr>
      <w:numPr>
        <w:numId w:val="2"/>
      </w:numPr>
      <w:tabs>
        <w:tab w:val="left" w:pos="709"/>
      </w:tabs>
      <w:ind w:left="437" w:hanging="437"/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EC51A5"/>
    <w:rPr>
      <w:sz w:val="18"/>
      <w:szCs w:val="24"/>
    </w:rPr>
  </w:style>
  <w:style w:type="character" w:customStyle="1" w:styleId="Rubrik2Char">
    <w:name w:val="Rubrik 2 Char"/>
    <w:basedOn w:val="Standardstycketeckensnitt"/>
    <w:link w:val="Rubrik2"/>
    <w:rsid w:val="0083350C"/>
    <w:rPr>
      <w:sz w:val="24"/>
      <w:szCs w:val="24"/>
    </w:rPr>
  </w:style>
  <w:style w:type="paragraph" w:styleId="Brdtext">
    <w:name w:val="Body Text"/>
    <w:basedOn w:val="Normal"/>
    <w:link w:val="BrdtextChar"/>
    <w:rsid w:val="0083350C"/>
    <w:pPr>
      <w:tabs>
        <w:tab w:val="left" w:pos="567"/>
        <w:tab w:val="left" w:pos="5888"/>
        <w:tab w:val="left" w:pos="9948"/>
        <w:tab w:val="left" w:pos="11268"/>
      </w:tabs>
    </w:pPr>
    <w:rPr>
      <w:color w:val="0000FF"/>
    </w:rPr>
  </w:style>
  <w:style w:type="character" w:customStyle="1" w:styleId="BrdtextChar">
    <w:name w:val="Brödtext Char"/>
    <w:basedOn w:val="Standardstycketeckensnitt"/>
    <w:link w:val="Brdtext"/>
    <w:rsid w:val="0083350C"/>
    <w:rPr>
      <w:color w:val="0000FF"/>
      <w:sz w:val="24"/>
      <w:szCs w:val="24"/>
    </w:rPr>
  </w:style>
  <w:style w:type="paragraph" w:styleId="Ballongtext">
    <w:name w:val="Balloon Text"/>
    <w:basedOn w:val="Normal"/>
    <w:link w:val="BallongtextChar"/>
    <w:rsid w:val="005D6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D6F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2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nt">
    <w:name w:val="Table Grid"/>
    <w:basedOn w:val="Normaltabell"/>
    <w:rsid w:val="0095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tycketeckensnitt"/>
    <w:rsid w:val="00D4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larss\Downloads\Mall%20kursplan%20engelsk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9D79-8920-4932-8191-14803AB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kursplan engelsk (1).dotx</Template>
  <TotalTime>9</TotalTime>
  <Pages>5</Pages>
  <Words>1094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Mallar och sån’t</vt:lpstr>
      <vt:lpstr>Mallar och sån’t</vt:lpstr>
    </vt:vector>
  </TitlesOfParts>
  <Company>Karlstads universitet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och sån’t</dc:title>
  <dc:creator>asalarss</dc:creator>
  <cp:lastModifiedBy>Åsa Ivansson</cp:lastModifiedBy>
  <cp:revision>7</cp:revision>
  <cp:lastPrinted>2016-10-06T06:37:00Z</cp:lastPrinted>
  <dcterms:created xsi:type="dcterms:W3CDTF">2021-05-18T11:04:00Z</dcterms:created>
  <dcterms:modified xsi:type="dcterms:W3CDTF">2021-05-24T10:29:00Z</dcterms:modified>
</cp:coreProperties>
</file>