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0BC" w:rsidRDefault="003F20BC" w:rsidP="003F20BC">
      <w:r>
        <w:t>CALL FOR PAPERS</w:t>
      </w:r>
    </w:p>
    <w:p w:rsidR="003F20BC" w:rsidRDefault="003F20BC" w:rsidP="003F20BC"/>
    <w:p w:rsidR="003F20BC" w:rsidRDefault="003F20BC" w:rsidP="003F20BC">
      <w:pPr>
        <w:rPr>
          <w:color w:val="000000"/>
          <w:bdr w:val="none" w:sz="0" w:space="0" w:color="auto" w:frame="1"/>
        </w:rPr>
      </w:pPr>
      <w:r>
        <w:rPr>
          <w:color w:val="000000"/>
          <w:bdr w:val="none" w:sz="0" w:space="0" w:color="auto" w:frame="1"/>
        </w:rPr>
        <w:t>The First International Queer Death Studies Conference: "Death Matters, Queer(</w:t>
      </w:r>
      <w:proofErr w:type="spellStart"/>
      <w:r>
        <w:rPr>
          <w:color w:val="000000"/>
          <w:bdr w:val="none" w:sz="0" w:space="0" w:color="auto" w:frame="1"/>
        </w:rPr>
        <w:t>ing</w:t>
      </w:r>
      <w:proofErr w:type="spellEnd"/>
      <w:r>
        <w:rPr>
          <w:color w:val="000000"/>
          <w:bdr w:val="none" w:sz="0" w:space="0" w:color="auto" w:frame="1"/>
        </w:rPr>
        <w:t xml:space="preserve">) Mourning, Attuning to </w:t>
      </w:r>
      <w:proofErr w:type="spellStart"/>
      <w:r>
        <w:rPr>
          <w:color w:val="000000"/>
          <w:bdr w:val="none" w:sz="0" w:space="0" w:color="auto" w:frame="1"/>
        </w:rPr>
        <w:t>Transitionings</w:t>
      </w:r>
      <w:proofErr w:type="spellEnd"/>
      <w:r>
        <w:rPr>
          <w:color w:val="000000"/>
          <w:bdr w:val="none" w:sz="0" w:space="0" w:color="auto" w:frame="1"/>
        </w:rPr>
        <w:t xml:space="preserve">" aims to create an arena for critical discussion of death, dying and mourning that goes beyond the dual approach to death – human death in particular – that is common within Western cultural frameworks of Christian tradition or secular biomedical perspectives. </w:t>
      </w:r>
      <w:proofErr w:type="gramStart"/>
      <w:r>
        <w:rPr>
          <w:color w:val="000000"/>
          <w:bdr w:val="none" w:sz="0" w:space="0" w:color="auto" w:frame="1"/>
        </w:rPr>
        <w:t xml:space="preserve">As such, the conference invites scholars who work with death, dying, mourning  and afterlife in relation to: diverse cultural, socio-political, historical, and economic conditions; entangled relations between human and the environment in the context of the Anthropocene; differential experiences of marginalised communities and individuals excluded from the hegemonic discourses on death, loss, grief and mourning, associated for example with the heteronormative model of family bonds; and, contemporary forms of </w:t>
      </w:r>
      <w:proofErr w:type="spellStart"/>
      <w:r>
        <w:rPr>
          <w:color w:val="000000"/>
          <w:bdr w:val="none" w:sz="0" w:space="0" w:color="auto" w:frame="1"/>
        </w:rPr>
        <w:t>necropolitics</w:t>
      </w:r>
      <w:proofErr w:type="spellEnd"/>
      <w:r>
        <w:rPr>
          <w:color w:val="000000"/>
          <w:bdr w:val="none" w:sz="0" w:space="0" w:color="auto" w:frame="1"/>
        </w:rPr>
        <w:t>: mechanisms of power that force certain bodies into liminal spaces between life and death (for instance, refugees whose lives in detention camps turn into the state of “social death” (</w:t>
      </w:r>
      <w:proofErr w:type="spellStart"/>
      <w:r>
        <w:rPr>
          <w:color w:val="000000"/>
          <w:bdr w:val="none" w:sz="0" w:space="0" w:color="auto" w:frame="1"/>
        </w:rPr>
        <w:t>Mirzoeff</w:t>
      </w:r>
      <w:proofErr w:type="spellEnd"/>
      <w:r>
        <w:rPr>
          <w:color w:val="000000"/>
          <w:bdr w:val="none" w:sz="0" w:space="0" w:color="auto" w:frame="1"/>
        </w:rPr>
        <w:t xml:space="preserve"> 2019)).</w:t>
      </w:r>
      <w:proofErr w:type="gramEnd"/>
      <w:r>
        <w:rPr>
          <w:color w:val="000000"/>
          <w:bdr w:val="none" w:sz="0" w:space="0" w:color="auto" w:frame="1"/>
        </w:rPr>
        <w:t xml:space="preserve"> Interventions that focus on practices that resist hegemonic norms, as well as queer and </w:t>
      </w:r>
      <w:proofErr w:type="spellStart"/>
      <w:r>
        <w:rPr>
          <w:color w:val="000000"/>
          <w:bdr w:val="none" w:sz="0" w:space="0" w:color="auto" w:frame="1"/>
        </w:rPr>
        <w:t>decolonialise</w:t>
      </w:r>
      <w:proofErr w:type="spellEnd"/>
      <w:r>
        <w:rPr>
          <w:color w:val="000000"/>
          <w:bdr w:val="none" w:sz="0" w:space="0" w:color="auto" w:frame="1"/>
        </w:rPr>
        <w:t xml:space="preserve"> mourning and remembering are also welcome.</w:t>
      </w:r>
    </w:p>
    <w:p w:rsidR="003F20BC" w:rsidRDefault="003F20BC" w:rsidP="003F20BC">
      <w:pPr>
        <w:rPr>
          <w:color w:val="000000"/>
          <w:bdr w:val="none" w:sz="0" w:space="0" w:color="auto" w:frame="1"/>
        </w:rPr>
      </w:pPr>
      <w:r>
        <w:rPr>
          <w:color w:val="000000"/>
          <w:bdr w:val="none" w:sz="0" w:space="0" w:color="auto" w:frame="1"/>
        </w:rPr>
        <w:t>In order to search for broad inspirations for alternative articulations and stories which </w:t>
      </w:r>
      <w:r>
        <w:rPr>
          <w:i/>
          <w:iCs/>
          <w:color w:val="000000"/>
          <w:bdr w:val="none" w:sz="0" w:space="0" w:color="auto" w:frame="1"/>
        </w:rPr>
        <w:t>queer</w:t>
      </w:r>
      <w:r>
        <w:rPr>
          <w:color w:val="000000"/>
          <w:bdr w:val="none" w:sz="0" w:space="0" w:color="auto" w:frame="1"/>
        </w:rPr>
        <w:t xml:space="preserve">, that is, unpack and question the </w:t>
      </w:r>
      <w:proofErr w:type="spellStart"/>
      <w:r>
        <w:rPr>
          <w:color w:val="000000"/>
          <w:bdr w:val="none" w:sz="0" w:space="0" w:color="auto" w:frame="1"/>
        </w:rPr>
        <w:t>normativities</w:t>
      </w:r>
      <w:proofErr w:type="spellEnd"/>
      <w:r>
        <w:rPr>
          <w:color w:val="000000"/>
          <w:bdr w:val="none" w:sz="0" w:space="0" w:color="auto" w:frame="1"/>
        </w:rPr>
        <w:t xml:space="preserve"> (Chen 2012; Sandilands &amp; Erickson 2012) that often frame contemporary discourses on death, dying, mourning and afterlife, the conference is based on a transdisciplinary engagement involving not only academics, but also activists, artists and other practitioners. In the context of the conference</w:t>
      </w:r>
      <w:r w:rsidRPr="00227A24">
        <w:rPr>
          <w:color w:val="000000"/>
          <w:bdr w:val="none" w:sz="0" w:space="0" w:color="auto" w:frame="1"/>
        </w:rPr>
        <w:t>, to queer</w:t>
      </w:r>
      <w:r>
        <w:rPr>
          <w:color w:val="000000"/>
          <w:bdr w:val="none" w:sz="0" w:space="0" w:color="auto" w:frame="1"/>
        </w:rPr>
        <w:t xml:space="preserve"> issues of death, dying, mourning and afterlife means to unhinge certainties, “undo normative entanglements and fashion alternative imaginaries” beyond the exclusive concern with gender and sexuality, often associated with the term “queer” (</w:t>
      </w:r>
      <w:proofErr w:type="spellStart"/>
      <w:r>
        <w:rPr>
          <w:color w:val="000000"/>
          <w:bdr w:val="none" w:sz="0" w:space="0" w:color="auto" w:frame="1"/>
        </w:rPr>
        <w:t>Giffney</w:t>
      </w:r>
      <w:proofErr w:type="spellEnd"/>
      <w:r>
        <w:rPr>
          <w:color w:val="000000"/>
          <w:bdr w:val="none" w:sz="0" w:space="0" w:color="auto" w:frame="1"/>
        </w:rPr>
        <w:t xml:space="preserve"> &amp; </w:t>
      </w:r>
      <w:proofErr w:type="spellStart"/>
      <w:r>
        <w:rPr>
          <w:color w:val="000000"/>
          <w:bdr w:val="none" w:sz="0" w:space="0" w:color="auto" w:frame="1"/>
        </w:rPr>
        <w:t>Hird</w:t>
      </w:r>
      <w:proofErr w:type="spellEnd"/>
      <w:r>
        <w:rPr>
          <w:color w:val="000000"/>
          <w:bdr w:val="none" w:sz="0" w:space="0" w:color="auto" w:frame="1"/>
        </w:rPr>
        <w:t xml:space="preserve"> 2008, 6). In particular, the conference will call for papers within the following three overall themes: (1) death matters and </w:t>
      </w:r>
      <w:proofErr w:type="spellStart"/>
      <w:r>
        <w:rPr>
          <w:color w:val="000000"/>
          <w:bdr w:val="none" w:sz="0" w:space="0" w:color="auto" w:frame="1"/>
        </w:rPr>
        <w:t>materialities</w:t>
      </w:r>
      <w:proofErr w:type="spellEnd"/>
      <w:r>
        <w:rPr>
          <w:color w:val="000000"/>
          <w:bdr w:val="none" w:sz="0" w:space="0" w:color="auto" w:frame="1"/>
        </w:rPr>
        <w:t xml:space="preserve">, (2) queering </w:t>
      </w:r>
      <w:proofErr w:type="gramStart"/>
      <w:r>
        <w:rPr>
          <w:color w:val="000000"/>
          <w:bdr w:val="none" w:sz="0" w:space="0" w:color="auto" w:frame="1"/>
        </w:rPr>
        <w:t>mourning,</w:t>
      </w:r>
      <w:proofErr w:type="gramEnd"/>
      <w:r>
        <w:rPr>
          <w:color w:val="000000"/>
          <w:bdr w:val="none" w:sz="0" w:space="0" w:color="auto" w:frame="1"/>
        </w:rPr>
        <w:t xml:space="preserve"> and (3) attuning to </w:t>
      </w:r>
      <w:proofErr w:type="spellStart"/>
      <w:r>
        <w:rPr>
          <w:color w:val="000000"/>
          <w:bdr w:val="none" w:sz="0" w:space="0" w:color="auto" w:frame="1"/>
        </w:rPr>
        <w:t>transitionings</w:t>
      </w:r>
      <w:proofErr w:type="spellEnd"/>
      <w:r>
        <w:rPr>
          <w:color w:val="000000"/>
          <w:bdr w:val="none" w:sz="0" w:space="0" w:color="auto" w:frame="1"/>
        </w:rPr>
        <w:t xml:space="preserve"> run through both days and all the keynote lectures. </w:t>
      </w:r>
    </w:p>
    <w:p w:rsidR="003F20BC" w:rsidRDefault="003F20BC" w:rsidP="003F20BC">
      <w:pPr>
        <w:rPr>
          <w:bdr w:val="none" w:sz="0" w:space="0" w:color="auto" w:frame="1"/>
        </w:rPr>
      </w:pPr>
      <w:r>
        <w:rPr>
          <w:bdr w:val="none" w:sz="0" w:space="0" w:color="auto" w:frame="1"/>
        </w:rPr>
        <w:t>The conference invites individual papers (length: 20 min) that engage with – but are not necessarily limited to – the following themes:</w:t>
      </w:r>
    </w:p>
    <w:p w:rsidR="003F20BC" w:rsidRDefault="003F20BC" w:rsidP="003F20BC">
      <w:pPr>
        <w:pStyle w:val="ListParagraph"/>
        <w:numPr>
          <w:ilvl w:val="0"/>
          <w:numId w:val="2"/>
        </w:numPr>
        <w:ind w:left="426"/>
        <w:jc w:val="left"/>
      </w:pPr>
      <w:r w:rsidRPr="0045201E">
        <w:t>Queer methodologies of researching death, dying</w:t>
      </w:r>
      <w:r>
        <w:t>,</w:t>
      </w:r>
      <w:r w:rsidRPr="0045201E">
        <w:t xml:space="preserve"> mourning</w:t>
      </w:r>
      <w:r>
        <w:t xml:space="preserve"> and afterlife</w:t>
      </w:r>
    </w:p>
    <w:p w:rsidR="003F20BC" w:rsidRDefault="003F20BC" w:rsidP="003F20BC">
      <w:pPr>
        <w:pStyle w:val="ListParagraph"/>
        <w:numPr>
          <w:ilvl w:val="0"/>
          <w:numId w:val="2"/>
        </w:numPr>
        <w:ind w:left="426"/>
        <w:jc w:val="left"/>
      </w:pPr>
      <w:r w:rsidRPr="0045201E">
        <w:t>Queer</w:t>
      </w:r>
      <w:r>
        <w:t xml:space="preserve">ing and </w:t>
      </w:r>
      <w:proofErr w:type="spellStart"/>
      <w:r>
        <w:t>decolonialising</w:t>
      </w:r>
      <w:proofErr w:type="spellEnd"/>
      <w:r w:rsidRPr="0045201E">
        <w:t xml:space="preserve"> practices of mourning, bereavement and remembrance</w:t>
      </w:r>
    </w:p>
    <w:p w:rsidR="003F20BC" w:rsidRPr="0045201E" w:rsidRDefault="003F20BC" w:rsidP="003F20BC">
      <w:pPr>
        <w:pStyle w:val="ListParagraph"/>
        <w:numPr>
          <w:ilvl w:val="0"/>
          <w:numId w:val="2"/>
        </w:numPr>
        <w:ind w:left="426"/>
        <w:jc w:val="left"/>
      </w:pPr>
      <w:r w:rsidRPr="0045201E">
        <w:t>Materiality of death and corpses</w:t>
      </w:r>
    </w:p>
    <w:p w:rsidR="003F20BC" w:rsidRDefault="003F20BC" w:rsidP="003F20BC">
      <w:pPr>
        <w:pStyle w:val="ListParagraph"/>
        <w:numPr>
          <w:ilvl w:val="0"/>
          <w:numId w:val="1"/>
        </w:numPr>
        <w:ind w:left="426"/>
        <w:jc w:val="left"/>
      </w:pPr>
      <w:r w:rsidRPr="0045201E">
        <w:t>Queering philosophies of death</w:t>
      </w:r>
    </w:p>
    <w:p w:rsidR="003F20BC" w:rsidRDefault="003F20BC" w:rsidP="003F20BC">
      <w:pPr>
        <w:pStyle w:val="ListParagraph"/>
        <w:numPr>
          <w:ilvl w:val="0"/>
          <w:numId w:val="1"/>
        </w:numPr>
        <w:ind w:left="426"/>
        <w:jc w:val="left"/>
      </w:pPr>
      <w:r w:rsidRPr="0045201E">
        <w:t>Death/life ecologie</w:t>
      </w:r>
      <w:r>
        <w:t>s</w:t>
      </w:r>
    </w:p>
    <w:p w:rsidR="003F20BC" w:rsidRPr="0045201E" w:rsidRDefault="003F20BC" w:rsidP="003F20BC">
      <w:pPr>
        <w:pStyle w:val="ListParagraph"/>
        <w:numPr>
          <w:ilvl w:val="0"/>
          <w:numId w:val="1"/>
        </w:numPr>
        <w:ind w:left="426"/>
        <w:jc w:val="left"/>
      </w:pPr>
      <w:r w:rsidRPr="0045201E">
        <w:t xml:space="preserve"> </w:t>
      </w:r>
      <w:proofErr w:type="spellStart"/>
      <w:r w:rsidRPr="0045201E">
        <w:t>Necropolitics</w:t>
      </w:r>
      <w:proofErr w:type="spellEnd"/>
      <w:r w:rsidRPr="0045201E">
        <w:t xml:space="preserve"> and borders</w:t>
      </w:r>
    </w:p>
    <w:p w:rsidR="003F20BC" w:rsidRDefault="003F20BC" w:rsidP="003F20BC">
      <w:pPr>
        <w:pStyle w:val="ListParagraph"/>
        <w:numPr>
          <w:ilvl w:val="0"/>
          <w:numId w:val="3"/>
        </w:numPr>
        <w:ind w:left="426"/>
        <w:jc w:val="left"/>
      </w:pPr>
      <w:r w:rsidRPr="0045201E">
        <w:lastRenderedPageBreak/>
        <w:t xml:space="preserve">Queer and trans </w:t>
      </w:r>
      <w:proofErr w:type="spellStart"/>
      <w:r w:rsidRPr="0045201E">
        <w:t>necropolitics</w:t>
      </w:r>
      <w:proofErr w:type="spellEnd"/>
    </w:p>
    <w:p w:rsidR="003F20BC" w:rsidRDefault="003F20BC" w:rsidP="003F20BC">
      <w:pPr>
        <w:pStyle w:val="ListParagraph"/>
        <w:numPr>
          <w:ilvl w:val="0"/>
          <w:numId w:val="3"/>
        </w:numPr>
        <w:ind w:left="426"/>
        <w:jc w:val="left"/>
      </w:pPr>
      <w:r w:rsidRPr="0045201E">
        <w:t>Un/</w:t>
      </w:r>
      <w:proofErr w:type="spellStart"/>
      <w:r w:rsidRPr="0045201E">
        <w:t>grievable</w:t>
      </w:r>
      <w:proofErr w:type="spellEnd"/>
      <w:r w:rsidRPr="0045201E">
        <w:t xml:space="preserve"> lives and death</w:t>
      </w:r>
      <w:r>
        <w:t>s</w:t>
      </w:r>
    </w:p>
    <w:p w:rsidR="003F20BC" w:rsidRDefault="003F20BC" w:rsidP="003F20BC">
      <w:pPr>
        <w:pStyle w:val="ListParagraph"/>
        <w:numPr>
          <w:ilvl w:val="0"/>
          <w:numId w:val="3"/>
        </w:numPr>
        <w:ind w:left="426"/>
        <w:jc w:val="left"/>
      </w:pPr>
      <w:r w:rsidRPr="0045201E">
        <w:t>Death and biotechnology/biomedicine</w:t>
      </w:r>
    </w:p>
    <w:p w:rsidR="003F20BC" w:rsidRDefault="003F20BC" w:rsidP="003F20BC">
      <w:pPr>
        <w:pStyle w:val="ListParagraph"/>
        <w:numPr>
          <w:ilvl w:val="0"/>
          <w:numId w:val="3"/>
        </w:numPr>
        <w:ind w:left="426"/>
        <w:jc w:val="left"/>
      </w:pPr>
      <w:r w:rsidRPr="0045201E">
        <w:t>Queering cancer and other life-threatening diseases</w:t>
      </w:r>
    </w:p>
    <w:p w:rsidR="003F20BC" w:rsidRDefault="003F20BC" w:rsidP="003F20BC">
      <w:pPr>
        <w:pStyle w:val="ListParagraph"/>
        <w:numPr>
          <w:ilvl w:val="0"/>
          <w:numId w:val="3"/>
        </w:numPr>
        <w:ind w:left="426"/>
        <w:jc w:val="left"/>
      </w:pPr>
      <w:r w:rsidRPr="0045201E">
        <w:t>Suicide</w:t>
      </w:r>
    </w:p>
    <w:p w:rsidR="003F20BC" w:rsidRDefault="003F20BC" w:rsidP="003F20BC">
      <w:pPr>
        <w:pStyle w:val="ListParagraph"/>
        <w:numPr>
          <w:ilvl w:val="0"/>
          <w:numId w:val="3"/>
        </w:numPr>
        <w:ind w:left="426"/>
        <w:jc w:val="left"/>
      </w:pPr>
      <w:r w:rsidRPr="0045201E">
        <w:t>Technologies of life/death</w:t>
      </w:r>
    </w:p>
    <w:p w:rsidR="003F20BC" w:rsidRDefault="003F20BC" w:rsidP="003F20BC">
      <w:pPr>
        <w:pStyle w:val="ListParagraph"/>
        <w:numPr>
          <w:ilvl w:val="0"/>
          <w:numId w:val="3"/>
        </w:numPr>
        <w:ind w:left="426"/>
        <w:jc w:val="left"/>
      </w:pPr>
      <w:r w:rsidRPr="0045201E">
        <w:t>Queer widowhood</w:t>
      </w:r>
    </w:p>
    <w:p w:rsidR="003F20BC" w:rsidRDefault="003F20BC" w:rsidP="003F20BC">
      <w:pPr>
        <w:pStyle w:val="ListParagraph"/>
        <w:numPr>
          <w:ilvl w:val="0"/>
          <w:numId w:val="3"/>
        </w:numPr>
        <w:ind w:left="426"/>
        <w:jc w:val="left"/>
      </w:pPr>
      <w:proofErr w:type="spellStart"/>
      <w:r w:rsidRPr="0045201E">
        <w:t>Decolonialising</w:t>
      </w:r>
      <w:proofErr w:type="spellEnd"/>
      <w:r w:rsidRPr="0045201E">
        <w:t xml:space="preserve"> death</w:t>
      </w:r>
    </w:p>
    <w:p w:rsidR="003F20BC" w:rsidRDefault="003F20BC" w:rsidP="003F20BC">
      <w:pPr>
        <w:pStyle w:val="ListParagraph"/>
        <w:numPr>
          <w:ilvl w:val="0"/>
          <w:numId w:val="3"/>
        </w:numPr>
        <w:ind w:left="426"/>
        <w:jc w:val="left"/>
      </w:pPr>
      <w:r w:rsidRPr="0045201E">
        <w:t>Illness narratives and death</w:t>
      </w:r>
    </w:p>
    <w:p w:rsidR="003F20BC" w:rsidRDefault="003F20BC" w:rsidP="003F20BC">
      <w:pPr>
        <w:pStyle w:val="ListParagraph"/>
        <w:numPr>
          <w:ilvl w:val="0"/>
          <w:numId w:val="3"/>
        </w:numPr>
        <w:ind w:left="426"/>
        <w:jc w:val="left"/>
      </w:pPr>
      <w:r w:rsidRPr="0045201E">
        <w:t xml:space="preserve"> </w:t>
      </w:r>
      <w:proofErr w:type="spellStart"/>
      <w:r w:rsidRPr="0045201E">
        <w:t>Ethico</w:t>
      </w:r>
      <w:proofErr w:type="spellEnd"/>
      <w:r w:rsidRPr="0045201E">
        <w:t xml:space="preserve">-politics and practices of </w:t>
      </w:r>
      <w:proofErr w:type="spellStart"/>
      <w:r w:rsidRPr="0045201E">
        <w:t>killability</w:t>
      </w:r>
      <w:proofErr w:type="spellEnd"/>
    </w:p>
    <w:p w:rsidR="003F20BC" w:rsidRDefault="003F20BC" w:rsidP="003F20BC">
      <w:pPr>
        <w:pStyle w:val="ListParagraph"/>
        <w:numPr>
          <w:ilvl w:val="0"/>
          <w:numId w:val="3"/>
        </w:numPr>
        <w:ind w:left="426"/>
        <w:jc w:val="left"/>
      </w:pPr>
      <w:r w:rsidRPr="0045201E">
        <w:t>Nonhuman death and dying</w:t>
      </w:r>
    </w:p>
    <w:p w:rsidR="003F20BC" w:rsidRDefault="003F20BC" w:rsidP="003F20BC">
      <w:pPr>
        <w:pStyle w:val="ListParagraph"/>
        <w:numPr>
          <w:ilvl w:val="0"/>
          <w:numId w:val="3"/>
        </w:numPr>
        <w:ind w:left="426"/>
        <w:jc w:val="left"/>
      </w:pPr>
      <w:r w:rsidRPr="0045201E">
        <w:t>Extinction and annihilation</w:t>
      </w:r>
    </w:p>
    <w:p w:rsidR="003F20BC" w:rsidRDefault="003F20BC" w:rsidP="003F20BC">
      <w:pPr>
        <w:pStyle w:val="ListParagraph"/>
        <w:numPr>
          <w:ilvl w:val="0"/>
          <w:numId w:val="3"/>
        </w:numPr>
        <w:ind w:left="426"/>
        <w:jc w:val="left"/>
      </w:pPr>
      <w:r w:rsidRPr="0045201E">
        <w:t>Death and acts of resistance</w:t>
      </w:r>
    </w:p>
    <w:p w:rsidR="003F20BC" w:rsidRDefault="003F20BC" w:rsidP="003F20BC">
      <w:pPr>
        <w:pStyle w:val="ListParagraph"/>
        <w:numPr>
          <w:ilvl w:val="0"/>
          <w:numId w:val="3"/>
        </w:numPr>
        <w:ind w:left="426"/>
        <w:jc w:val="left"/>
      </w:pPr>
      <w:r w:rsidRPr="0045201E">
        <w:t>‘Slow death’</w:t>
      </w:r>
    </w:p>
    <w:p w:rsidR="003F20BC" w:rsidRDefault="003F20BC" w:rsidP="003F20BC">
      <w:pPr>
        <w:pStyle w:val="ListParagraph"/>
        <w:numPr>
          <w:ilvl w:val="0"/>
          <w:numId w:val="3"/>
        </w:numPr>
        <w:ind w:left="426"/>
        <w:jc w:val="left"/>
      </w:pPr>
      <w:r w:rsidRPr="0045201E">
        <w:t>Queering temporalities of death</w:t>
      </w:r>
    </w:p>
    <w:p w:rsidR="003F20BC" w:rsidRDefault="003F20BC" w:rsidP="003F20BC">
      <w:pPr>
        <w:pStyle w:val="ListParagraph"/>
        <w:numPr>
          <w:ilvl w:val="0"/>
          <w:numId w:val="3"/>
        </w:numPr>
        <w:ind w:left="426"/>
        <w:jc w:val="left"/>
      </w:pPr>
      <w:r w:rsidRPr="0045201E">
        <w:t xml:space="preserve">Queer </w:t>
      </w:r>
      <w:proofErr w:type="spellStart"/>
      <w:r w:rsidRPr="0045201E">
        <w:t>spiritualities</w:t>
      </w:r>
      <w:proofErr w:type="spellEnd"/>
    </w:p>
    <w:p w:rsidR="003F20BC" w:rsidRPr="0045201E" w:rsidRDefault="003F20BC" w:rsidP="003F20BC">
      <w:pPr>
        <w:pStyle w:val="ListParagraph"/>
        <w:numPr>
          <w:ilvl w:val="0"/>
          <w:numId w:val="3"/>
        </w:numPr>
        <w:ind w:left="426"/>
        <w:jc w:val="left"/>
      </w:pPr>
      <w:r>
        <w:t xml:space="preserve">Death, ghosts and </w:t>
      </w:r>
      <w:proofErr w:type="spellStart"/>
      <w:r>
        <w:t>hauntology</w:t>
      </w:r>
      <w:proofErr w:type="spellEnd"/>
    </w:p>
    <w:p w:rsidR="003F20BC" w:rsidRDefault="003F20BC" w:rsidP="003F20BC">
      <w:pPr>
        <w:ind w:left="426"/>
        <w:rPr>
          <w:bdr w:val="none" w:sz="0" w:space="0" w:color="auto" w:frame="1"/>
        </w:rPr>
      </w:pPr>
    </w:p>
    <w:p w:rsidR="003F20BC" w:rsidRDefault="003F20BC" w:rsidP="003F20BC">
      <w:pPr>
        <w:ind w:left="426"/>
        <w:rPr>
          <w:bdr w:val="none" w:sz="0" w:space="0" w:color="auto" w:frame="1"/>
        </w:rPr>
      </w:pPr>
    </w:p>
    <w:p w:rsidR="003F20BC" w:rsidRDefault="003F20BC" w:rsidP="003F20BC">
      <w:pPr>
        <w:ind w:firstLine="0"/>
        <w:rPr>
          <w:bdr w:val="none" w:sz="0" w:space="0" w:color="auto" w:frame="1"/>
        </w:rPr>
      </w:pPr>
      <w:r>
        <w:rPr>
          <w:bdr w:val="none" w:sz="0" w:space="0" w:color="auto" w:frame="1"/>
        </w:rPr>
        <w:t xml:space="preserve">Please, send a 300-word long abstract, accompanied by a 100-long bio </w:t>
      </w:r>
      <w:proofErr w:type="gramStart"/>
      <w:r>
        <w:rPr>
          <w:bdr w:val="none" w:sz="0" w:space="0" w:color="auto" w:frame="1"/>
        </w:rPr>
        <w:t>to:</w:t>
      </w:r>
      <w:proofErr w:type="gramEnd"/>
      <w:r>
        <w:rPr>
          <w:bdr w:val="none" w:sz="0" w:space="0" w:color="auto" w:frame="1"/>
        </w:rPr>
        <w:t xml:space="preserve"> </w:t>
      </w:r>
      <w:hyperlink r:id="rId5" w:history="1">
        <w:r w:rsidRPr="00076001">
          <w:rPr>
            <w:rStyle w:val="Hyperlink"/>
            <w:bdr w:val="none" w:sz="0" w:space="0" w:color="auto" w:frame="1"/>
          </w:rPr>
          <w:t>qdsconference@gmail.com</w:t>
        </w:r>
      </w:hyperlink>
      <w:r>
        <w:rPr>
          <w:bdr w:val="none" w:sz="0" w:space="0" w:color="auto" w:frame="1"/>
        </w:rPr>
        <w:t xml:space="preserve"> .</w:t>
      </w:r>
    </w:p>
    <w:p w:rsidR="003F20BC" w:rsidRPr="0045201E" w:rsidRDefault="003F20BC" w:rsidP="003F20BC">
      <w:pPr>
        <w:ind w:left="426"/>
        <w:rPr>
          <w:bdr w:val="none" w:sz="0" w:space="0" w:color="auto" w:frame="1"/>
        </w:rPr>
      </w:pPr>
    </w:p>
    <w:p w:rsidR="003F20BC" w:rsidRPr="0045201E" w:rsidRDefault="003F20BC" w:rsidP="003F20BC">
      <w:pPr>
        <w:ind w:firstLine="0"/>
      </w:pPr>
      <w:r>
        <w:t>Deadline for abstracts: 30 June 2019</w:t>
      </w:r>
    </w:p>
    <w:p w:rsidR="001B17A8" w:rsidRDefault="003F20BC">
      <w:bookmarkStart w:id="0" w:name="_GoBack"/>
      <w:bookmarkEnd w:id="0"/>
    </w:p>
    <w:sectPr w:rsidR="001B17A8" w:rsidSect="005827A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862DB"/>
    <w:multiLevelType w:val="hybridMultilevel"/>
    <w:tmpl w:val="7D84B476"/>
    <w:lvl w:ilvl="0" w:tplc="F06ADAC4">
      <w:start w:val="1"/>
      <w:numFmt w:val="bullet"/>
      <w:lvlText w:val="-"/>
      <w:lvlJc w:val="left"/>
      <w:pPr>
        <w:ind w:left="1117" w:hanging="360"/>
      </w:pPr>
      <w:rPr>
        <w:rFonts w:ascii="Times New Roman" w:eastAsiaTheme="minorHAnsi" w:hAnsi="Times New Roman" w:cs="Times New Roman"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 w15:restartNumberingAfterBreak="0">
    <w:nsid w:val="444B3007"/>
    <w:multiLevelType w:val="hybridMultilevel"/>
    <w:tmpl w:val="57D037B8"/>
    <w:lvl w:ilvl="0" w:tplc="F06ADAC4">
      <w:start w:val="1"/>
      <w:numFmt w:val="bullet"/>
      <w:lvlText w:val="-"/>
      <w:lvlJc w:val="left"/>
      <w:pPr>
        <w:ind w:left="1146" w:hanging="360"/>
      </w:pPr>
      <w:rPr>
        <w:rFonts w:ascii="Times New Roman" w:eastAsiaTheme="minorHAnsi"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736A6C81"/>
    <w:multiLevelType w:val="hybridMultilevel"/>
    <w:tmpl w:val="A6966358"/>
    <w:lvl w:ilvl="0" w:tplc="F06ADAC4">
      <w:start w:val="1"/>
      <w:numFmt w:val="bullet"/>
      <w:lvlText w:val="-"/>
      <w:lvlJc w:val="left"/>
      <w:pPr>
        <w:ind w:left="1117" w:hanging="360"/>
      </w:pPr>
      <w:rPr>
        <w:rFonts w:ascii="Times New Roman" w:eastAsiaTheme="minorHAnsi" w:hAnsi="Times New Roman" w:cs="Times New Roman"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0BC"/>
    <w:rsid w:val="00043463"/>
    <w:rsid w:val="003F20BC"/>
    <w:rsid w:val="00C83E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DB9824-092D-4FFF-8FD8-C03C9E62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0BC"/>
    <w:pPr>
      <w:pBdr>
        <w:top w:val="nil"/>
        <w:left w:val="nil"/>
        <w:bottom w:val="nil"/>
        <w:right w:val="nil"/>
        <w:between w:val="nil"/>
        <w:bar w:val="nil"/>
      </w:pBdr>
      <w:spacing w:after="0" w:line="360" w:lineRule="auto"/>
      <w:ind w:firstLine="397"/>
      <w:jc w:val="both"/>
    </w:pPr>
    <w:rPr>
      <w:rFonts w:ascii="Candara" w:eastAsia="Arial Unicode MS" w:hAnsi="Candara" w:cs="Times New Roman"/>
      <w:szCs w:val="24"/>
      <w:bdr w:val="ni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20BC"/>
    <w:rPr>
      <w:color w:val="0563C1" w:themeColor="hyperlink"/>
      <w:u w:val="single"/>
    </w:rPr>
  </w:style>
  <w:style w:type="paragraph" w:styleId="ListParagraph">
    <w:name w:val="List Paragraph"/>
    <w:basedOn w:val="Normal"/>
    <w:uiPriority w:val="34"/>
    <w:qFormat/>
    <w:rsid w:val="003F2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qdsconferenc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Karlstads Universitet</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Mehrabi</dc:creator>
  <cp:keywords/>
  <dc:description/>
  <cp:lastModifiedBy>Tara Mehrabi</cp:lastModifiedBy>
  <cp:revision>1</cp:revision>
  <dcterms:created xsi:type="dcterms:W3CDTF">2019-03-20T12:09:00Z</dcterms:created>
  <dcterms:modified xsi:type="dcterms:W3CDTF">2019-03-20T12:10:00Z</dcterms:modified>
</cp:coreProperties>
</file>